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9D7B1B" w:rsidRDefault="00F07CFA">
      <w:pPr>
        <w:rPr>
          <w:rFonts w:ascii="Arial" w:hAnsi="Arial" w:cs="Arial"/>
          <w:b/>
        </w:rPr>
      </w:pPr>
      <w:r>
        <w:rPr>
          <w:rFonts w:ascii="Arial" w:hAnsi="Arial" w:cs="Arial"/>
          <w:b/>
        </w:rPr>
        <w:t xml:space="preserve">CMP244 / CMP256 ‘Set final </w:t>
      </w:r>
      <w:proofErr w:type="spellStart"/>
      <w:r>
        <w:rPr>
          <w:rFonts w:ascii="Arial" w:hAnsi="Arial" w:cs="Arial"/>
          <w:b/>
        </w:rPr>
        <w:t>TNUoS</w:t>
      </w:r>
      <w:proofErr w:type="spellEnd"/>
      <w:r>
        <w:rPr>
          <w:rFonts w:ascii="Arial" w:hAnsi="Arial" w:cs="Arial"/>
          <w:b/>
        </w:rPr>
        <w:t xml:space="preserve"> tariffs at least 15 months ahead of each charging year’ &amp; ‘Potential consequential changes to the CUSC as a result of CMP244’</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bookmarkStart w:id="1" w:name="_GoBack"/>
      <w:bookmarkEnd w:id="1"/>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F07CFA">
        <w:rPr>
          <w:rFonts w:ascii="Arial" w:hAnsi="Arial" w:cs="Arial"/>
          <w:b/>
        </w:rPr>
        <w:t>27</w:t>
      </w:r>
      <w:r w:rsidR="00F07CFA" w:rsidRPr="00F07CFA">
        <w:rPr>
          <w:rFonts w:ascii="Arial" w:hAnsi="Arial" w:cs="Arial"/>
          <w:b/>
          <w:vertAlign w:val="superscript"/>
        </w:rPr>
        <w:t>th</w:t>
      </w:r>
      <w:r w:rsidR="00F07CFA">
        <w:rPr>
          <w:rFonts w:ascii="Arial" w:hAnsi="Arial" w:cs="Arial"/>
          <w:b/>
        </w:rPr>
        <w:t xml:space="preserve"> April 2016</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FF7506" w:rsidRPr="00FF7506" w:rsidRDefault="00A42ECE" w:rsidP="00FF7506">
            <w:pPr>
              <w:pStyle w:val="Heading2"/>
              <w:numPr>
                <w:ilvl w:val="0"/>
                <w:numId w:val="0"/>
              </w:numPr>
              <w:rPr>
                <w:i/>
              </w:rPr>
            </w:pPr>
            <w:r w:rsidRPr="00001611">
              <w:rPr>
                <w:i/>
              </w:rPr>
              <w:t xml:space="preserve">For reference, the Applicable CUSC objectives </w:t>
            </w:r>
            <w:r w:rsidR="00F07CFA">
              <w:rPr>
                <w:i/>
              </w:rPr>
              <w:t xml:space="preserve">for CMP244 </w:t>
            </w:r>
            <w:r w:rsidRPr="00001611">
              <w:rPr>
                <w:i/>
              </w:rPr>
              <w:t xml:space="preserve">are: </w:t>
            </w:r>
            <w:r w:rsidR="00FF7506" w:rsidRPr="00FF7506">
              <w:rPr>
                <w:szCs w:val="22"/>
              </w:rPr>
              <w:t xml:space="preserve"> </w:t>
            </w:r>
          </w:p>
          <w:p w:rsidR="00FF7506" w:rsidRPr="0098227F" w:rsidRDefault="00FF7506" w:rsidP="00FF7506">
            <w:pPr>
              <w:pStyle w:val="Heading4"/>
              <w:rPr>
                <w:rFonts w:cs="Arial"/>
                <w:sz w:val="20"/>
                <w:szCs w:val="20"/>
              </w:rPr>
            </w:pPr>
            <w:r w:rsidRPr="0098227F">
              <w:rPr>
                <w:sz w:val="20"/>
                <w:szCs w:val="20"/>
              </w:rPr>
              <w:t xml:space="preserve">That compliance with the use of system charging methodology facilitates effective competition in the generation and supply of electricity and (so far as is consistent </w:t>
            </w:r>
            <w:r w:rsidRPr="0098227F">
              <w:rPr>
                <w:sz w:val="20"/>
                <w:szCs w:val="20"/>
              </w:rPr>
              <w:tab/>
              <w:t xml:space="preserve"> </w:t>
            </w:r>
            <w:r w:rsidRPr="0098227F">
              <w:rPr>
                <w:rFonts w:cs="Arial"/>
                <w:sz w:val="20"/>
                <w:szCs w:val="20"/>
              </w:rPr>
              <w:t xml:space="preserve">therewith) facilitates competition in the sale, distribution and purchase of electricity; </w:t>
            </w:r>
            <w:r w:rsidRPr="0098227F">
              <w:rPr>
                <w:rFonts w:cs="Arial"/>
                <w:sz w:val="20"/>
                <w:szCs w:val="20"/>
              </w:rPr>
              <w:tab/>
              <w:t xml:space="preserve"> </w:t>
            </w:r>
          </w:p>
          <w:p w:rsidR="00FF7506" w:rsidRPr="0098227F" w:rsidRDefault="00FF7506" w:rsidP="00FF7506">
            <w:pPr>
              <w:pStyle w:val="Heading4"/>
              <w:rPr>
                <w:rFonts w:cs="Arial"/>
                <w:sz w:val="20"/>
                <w:szCs w:val="20"/>
              </w:rPr>
            </w:pPr>
            <w:r w:rsidRPr="0098227F">
              <w:rPr>
                <w:sz w:val="20"/>
                <w:szCs w:val="20"/>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sidRPr="0098227F">
              <w:rPr>
                <w:rFonts w:cs="Arial"/>
                <w:sz w:val="20"/>
                <w:szCs w:val="20"/>
              </w:rPr>
              <w:t xml:space="preserve">are compatible with standard licence condition C26 (requirements of a connect and manage connection); </w:t>
            </w:r>
          </w:p>
          <w:p w:rsidR="00FF7506" w:rsidRPr="0098227F" w:rsidRDefault="00FF7506" w:rsidP="00FF7506">
            <w:pPr>
              <w:pStyle w:val="Heading4"/>
              <w:rPr>
                <w:rFonts w:cs="Arial"/>
                <w:sz w:val="20"/>
                <w:szCs w:val="20"/>
              </w:rPr>
            </w:pPr>
            <w:r w:rsidRPr="0098227F">
              <w:rPr>
                <w:rFonts w:cs="Arial"/>
                <w:sz w:val="20"/>
                <w:szCs w:val="20"/>
              </w:rPr>
              <w:t>That, so far as is consistent with sub-paragraphs (a) and</w:t>
            </w:r>
            <w:r w:rsidR="0046069C" w:rsidRPr="0098227F">
              <w:rPr>
                <w:rFonts w:cs="Arial"/>
                <w:sz w:val="20"/>
                <w:szCs w:val="20"/>
              </w:rPr>
              <w:t xml:space="preserve"> </w:t>
            </w:r>
            <w:r w:rsidRPr="0098227F">
              <w:rPr>
                <w:rFonts w:cs="Arial"/>
                <w:sz w:val="20"/>
                <w:szCs w:val="20"/>
              </w:rPr>
              <w:t>(b), the use of system charging methodology, as far as is reasonably practicable, properly takes account of</w:t>
            </w:r>
            <w:r w:rsidRPr="0098227F">
              <w:rPr>
                <w:rFonts w:cs="Arial"/>
                <w:sz w:val="20"/>
                <w:szCs w:val="20"/>
              </w:rPr>
              <w:tab/>
              <w:t>the developments in transmission licensees’ transmission businesses; and</w:t>
            </w:r>
          </w:p>
          <w:p w:rsidR="00A66116" w:rsidRDefault="00FF7506" w:rsidP="00FF7506">
            <w:pPr>
              <w:pStyle w:val="Heading4"/>
              <w:rPr>
                <w:rFonts w:cs="Arial"/>
                <w:sz w:val="20"/>
                <w:szCs w:val="20"/>
              </w:rPr>
            </w:pPr>
            <w:proofErr w:type="gramStart"/>
            <w:r w:rsidRPr="0098227F">
              <w:rPr>
                <w:rFonts w:cs="Arial"/>
                <w:sz w:val="20"/>
                <w:szCs w:val="20"/>
              </w:rPr>
              <w:t>Compliance with the Electricity Regulation and any releva</w:t>
            </w:r>
            <w:r w:rsidR="0046069C" w:rsidRPr="0098227F">
              <w:rPr>
                <w:rFonts w:cs="Arial"/>
                <w:sz w:val="20"/>
                <w:szCs w:val="20"/>
              </w:rPr>
              <w:t xml:space="preserve">nt legally binding decision </w:t>
            </w:r>
            <w:r w:rsidR="0046069C" w:rsidRPr="0098227F">
              <w:rPr>
                <w:rFonts w:cs="Arial"/>
                <w:sz w:val="20"/>
                <w:szCs w:val="20"/>
              </w:rPr>
              <w:tab/>
              <w:t xml:space="preserve">of </w:t>
            </w:r>
            <w:r w:rsidRPr="0098227F">
              <w:rPr>
                <w:rFonts w:cs="Arial"/>
                <w:sz w:val="20"/>
                <w:szCs w:val="20"/>
              </w:rPr>
              <w:t>the European Commission and/or the Agency.</w:t>
            </w:r>
            <w:proofErr w:type="gramEnd"/>
            <w:r w:rsidRPr="0098227F">
              <w:rPr>
                <w:rFonts w:cs="Arial"/>
                <w:sz w:val="20"/>
                <w:szCs w:val="20"/>
              </w:rPr>
              <w:t xml:space="preserve"> </w:t>
            </w:r>
            <w:r w:rsidRPr="0098227F">
              <w:rPr>
                <w:rFonts w:cs="Arial"/>
                <w:sz w:val="20"/>
                <w:szCs w:val="20"/>
              </w:rPr>
              <w:tab/>
            </w:r>
          </w:p>
          <w:p w:rsidR="00F07CFA" w:rsidRDefault="00F07CFA" w:rsidP="00F07CFA">
            <w:pPr>
              <w:rPr>
                <w:lang w:eastAsia="en-GB"/>
              </w:rPr>
            </w:pPr>
          </w:p>
          <w:p w:rsidR="00F07CFA" w:rsidRPr="00F07CFA" w:rsidRDefault="00F07CFA" w:rsidP="00F07CFA">
            <w:pPr>
              <w:rPr>
                <w:rFonts w:ascii="Arial" w:hAnsi="Arial" w:cs="Arial"/>
                <w:i/>
              </w:rPr>
            </w:pPr>
            <w:r w:rsidRPr="00F07CFA">
              <w:rPr>
                <w:rFonts w:ascii="Arial" w:hAnsi="Arial" w:cs="Arial"/>
                <w:i/>
              </w:rPr>
              <w:t>the Applicable CUSC objectives for CMP2</w:t>
            </w:r>
            <w:r w:rsidRPr="00F07CFA">
              <w:rPr>
                <w:rFonts w:ascii="Arial" w:hAnsi="Arial" w:cs="Arial"/>
                <w:i/>
              </w:rPr>
              <w:t>56</w:t>
            </w:r>
            <w:r w:rsidRPr="00F07CFA">
              <w:rPr>
                <w:rFonts w:ascii="Arial" w:hAnsi="Arial" w:cs="Arial"/>
                <w:i/>
              </w:rPr>
              <w:t xml:space="preserve"> are</w:t>
            </w:r>
            <w:r>
              <w:rPr>
                <w:rFonts w:ascii="Arial" w:hAnsi="Arial" w:cs="Arial"/>
                <w:i/>
              </w:rPr>
              <w:t>;</w:t>
            </w:r>
          </w:p>
          <w:p w:rsidR="00F07CFA" w:rsidRPr="00F07CFA" w:rsidRDefault="00F07CFA" w:rsidP="00F07CFA">
            <w:pPr>
              <w:pStyle w:val="Heading4"/>
              <w:numPr>
                <w:ilvl w:val="3"/>
                <w:numId w:val="4"/>
              </w:numPr>
              <w:tabs>
                <w:tab w:val="clear" w:pos="567"/>
                <w:tab w:val="num" w:pos="1026"/>
              </w:tabs>
              <w:ind w:left="1026" w:hanging="459"/>
              <w:rPr>
                <w:rFonts w:cs="Arial"/>
                <w:sz w:val="20"/>
                <w:szCs w:val="20"/>
              </w:rPr>
            </w:pPr>
            <w:r>
              <w:rPr>
                <w:sz w:val="20"/>
                <w:szCs w:val="20"/>
              </w:rPr>
              <w:t>The efficient discharge by the Licensee of the obligations imposed on it by the Act and the Transmission License;</w:t>
            </w:r>
            <w:r w:rsidRPr="00F07CFA">
              <w:rPr>
                <w:rFonts w:cs="Arial"/>
                <w:sz w:val="20"/>
                <w:szCs w:val="20"/>
              </w:rPr>
              <w:t xml:space="preserve"> </w:t>
            </w:r>
          </w:p>
          <w:p w:rsidR="00F07CFA" w:rsidRPr="0098227F" w:rsidRDefault="00F07CFA" w:rsidP="00F07CFA">
            <w:pPr>
              <w:pStyle w:val="Heading4"/>
              <w:rPr>
                <w:rFonts w:cs="Arial"/>
                <w:sz w:val="20"/>
                <w:szCs w:val="20"/>
              </w:rPr>
            </w:pPr>
            <w:r>
              <w:rPr>
                <w:sz w:val="20"/>
                <w:szCs w:val="20"/>
              </w:rPr>
              <w:t>Facilitating effective competition in the generation and supply of electricity, and (so far as is consistent therewith) facilitating such competition in the sale, distribution and purchase of electricity;</w:t>
            </w:r>
          </w:p>
          <w:p w:rsidR="00F07CFA" w:rsidRPr="0098227F" w:rsidRDefault="00F07CFA" w:rsidP="00F07CFA">
            <w:pPr>
              <w:pStyle w:val="Heading4"/>
              <w:rPr>
                <w:rFonts w:cs="Arial"/>
                <w:sz w:val="20"/>
                <w:szCs w:val="20"/>
              </w:rPr>
            </w:pPr>
            <w:proofErr w:type="gramStart"/>
            <w:r>
              <w:rPr>
                <w:rFonts w:cs="Arial"/>
                <w:sz w:val="20"/>
                <w:szCs w:val="20"/>
              </w:rPr>
              <w:t>Compliance with the Electricity Regulation and any relevant legally binding decision of the European Commission and/or the Agency.</w:t>
            </w:r>
            <w:proofErr w:type="gramEnd"/>
            <w:r>
              <w:rPr>
                <w:rFonts w:cs="Arial"/>
                <w:sz w:val="20"/>
                <w:szCs w:val="20"/>
              </w:rPr>
              <w:t xml:space="preserve"> </w:t>
            </w:r>
          </w:p>
          <w:p w:rsidR="00F07CFA" w:rsidRPr="00F07CFA" w:rsidRDefault="00F07CFA" w:rsidP="00F07CFA">
            <w:pPr>
              <w:ind w:left="601"/>
              <w:rPr>
                <w:lang w:eastAsia="en-GB"/>
              </w:rPr>
            </w:pP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F07CFA">
              <w:rPr>
                <w:rFonts w:ascii="Arial" w:hAnsi="Arial" w:cs="Arial"/>
                <w:b/>
              </w:rPr>
              <w:t>44 and CMP256</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2B6158"/>
    <w:rsid w:val="00337AEE"/>
    <w:rsid w:val="004525C7"/>
    <w:rsid w:val="0046069C"/>
    <w:rsid w:val="005C5FF8"/>
    <w:rsid w:val="00666316"/>
    <w:rsid w:val="006E10A6"/>
    <w:rsid w:val="00716840"/>
    <w:rsid w:val="00721068"/>
    <w:rsid w:val="00857A30"/>
    <w:rsid w:val="0098227F"/>
    <w:rsid w:val="009D7B1B"/>
    <w:rsid w:val="00A112A9"/>
    <w:rsid w:val="00A42ECE"/>
    <w:rsid w:val="00A50AD4"/>
    <w:rsid w:val="00A66116"/>
    <w:rsid w:val="00B87129"/>
    <w:rsid w:val="00C01712"/>
    <w:rsid w:val="00DC3384"/>
    <w:rsid w:val="00E05E8F"/>
    <w:rsid w:val="00F07CFA"/>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Clarke</cp:lastModifiedBy>
  <cp:revision>5</cp:revision>
  <dcterms:created xsi:type="dcterms:W3CDTF">2015-08-10T12:57:00Z</dcterms:created>
  <dcterms:modified xsi:type="dcterms:W3CDTF">2016-03-30T08:30:00Z</dcterms:modified>
</cp:coreProperties>
</file>