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CF" w:rsidRDefault="00396926" w:rsidP="00386F3D">
      <w:pPr>
        <w:pStyle w:val="Heading3"/>
        <w:spacing w:before="0" w:after="0"/>
      </w:pPr>
      <w:bookmarkStart w:id="0" w:name="_GoBack"/>
      <w:bookmarkEnd w:id="0"/>
      <w:r>
        <w:t>Appendix 1</w:t>
      </w:r>
      <w:r w:rsidR="00DC1C5F">
        <w:t xml:space="preserve"> – List of Service Areas </w:t>
      </w:r>
      <w:proofErr w:type="gramStart"/>
      <w:r w:rsidR="00DC1C5F">
        <w:t>Within</w:t>
      </w:r>
      <w:proofErr w:type="gramEnd"/>
      <w:r w:rsidR="00DC1C5F">
        <w:t xml:space="preserve"> Scope of the CBSG</w:t>
      </w:r>
    </w:p>
    <w:p w:rsidR="00396926" w:rsidRDefault="00396926" w:rsidP="007863B8"/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1561"/>
        <w:gridCol w:w="4535"/>
        <w:gridCol w:w="4111"/>
        <w:gridCol w:w="992"/>
      </w:tblGrid>
      <w:tr w:rsidR="006B4902" w:rsidRPr="00382173" w:rsidTr="007152D8">
        <w:trPr>
          <w:trHeight w:val="3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What is it?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What would you like to see change?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6B4902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Priority (5 high, 1 low)</w:t>
            </w: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Short Term Operating Reserve </w:t>
            </w: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(STOR)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A manually instructed delivery of active power from Generation or demand reduction. Forms of service are Committed, Flexible and Premium Flexible. NBM may provide an Optional service outside of Availability Windows.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Fast Reserve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A manually instructed rapid and flexible change in active power output or demand.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BM Start up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Additional Generation BMUs that would not otherwise have run and which could not be made available in BM timescales.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Demand Side Balancing Reserve </w:t>
            </w: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(DSBR)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B4902" w:rsidRPr="00382173" w:rsidRDefault="006B4902" w:rsidP="006B490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Demand side Balancing Reserve is a new opportunity for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large industrial and commercial electricity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consumers to earn money by offering to reduce 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shift demand during periods of high system demand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if instructed to do so by National Grid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Supplemental Balancing Reserve </w:t>
            </w: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(SBR)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B4902" w:rsidRPr="00382173" w:rsidRDefault="006B4902" w:rsidP="006B490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 xml:space="preserve">Supplemental Balancing Reserve is aimed at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eeping Power stations in reserve that would otherwise be closed or Mothballed.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B4902" w:rsidRPr="00382173" w:rsidRDefault="006B4902" w:rsidP="00C60666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B4902" w:rsidRPr="00382173" w:rsidRDefault="006B4902" w:rsidP="00C60666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Firm Frequency Response (FFR)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Provision of Dynamic or Non-Dynamic response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Frequency Control By Demand Management  (FCDM)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 xml:space="preserve">FCDM specifically aims to prevent the fall in system frequency below the statutory limit </w:t>
            </w:r>
            <w:proofErr w:type="gramStart"/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of  49.5</w:t>
            </w:r>
            <w:proofErr w:type="gramEnd"/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 xml:space="preserve"> Hz through the interruption of customers (&gt;=3MW) demand.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Reactive - Enhanced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B4902" w:rsidRPr="00382173" w:rsidRDefault="006B4902" w:rsidP="006B490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Enhanced Reactive Power Service (ERPS) is the provision of Reactive Power capability fr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m any other plant or apparatus which can generate or absorb RP that isn't required to provide ORPS.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Commercial </w:t>
            </w:r>
            <w:proofErr w:type="spellStart"/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Intertrips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An automatic disconnection of a generator or demand from the Transmission syste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 when a specific event occurs s</w:t>
            </w: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 xml:space="preserve">uch as a system fault.  Operational </w:t>
            </w:r>
            <w:proofErr w:type="spellStart"/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intertrips</w:t>
            </w:r>
            <w:proofErr w:type="spellEnd"/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 xml:space="preserve"> are a condition of connection to the system. Commercial </w:t>
            </w:r>
            <w:proofErr w:type="spellStart"/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intertrips</w:t>
            </w:r>
            <w:proofErr w:type="spellEnd"/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 xml:space="preserve"> may be specified and agreed on an ad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hoc basis.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Constraint Management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Helps NG to manage con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traints by providers limiting or profiling their generation or demand during a specific period.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Black Start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Contract with a generator to start up independently in order to reenergise the Transmission system.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7152D8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Fast Start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Ramp up of output to prevent frequency losses.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902" w:rsidRPr="00382173" w:rsidTr="00BF54BE">
        <w:trPr>
          <w:trHeight w:val="18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Grid Trade Master Agreements </w:t>
            </w:r>
            <w:r w:rsidRPr="00382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(GTMAs)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173">
              <w:rPr>
                <w:rFonts w:ascii="Calibri" w:hAnsi="Calibri"/>
                <w:color w:val="000000"/>
                <w:sz w:val="22"/>
                <w:szCs w:val="22"/>
              </w:rPr>
              <w:t>Trading Arrangement to facilitate trades between NG and BMUs.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902" w:rsidRPr="00382173" w:rsidRDefault="006B4902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54BE" w:rsidRPr="00382173" w:rsidTr="00BF54BE">
        <w:trPr>
          <w:trHeight w:val="18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BE" w:rsidRPr="00382173" w:rsidRDefault="00BF54BE" w:rsidP="0038217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Any Other Thoughts?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BE" w:rsidRPr="00382173" w:rsidRDefault="00BF54BE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4BE" w:rsidRPr="00382173" w:rsidRDefault="00BF54BE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4BE" w:rsidRPr="00382173" w:rsidRDefault="00BF54BE" w:rsidP="00382173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E4C82" w:rsidRDefault="008E4C82" w:rsidP="007863B8"/>
    <w:p w:rsidR="009455C0" w:rsidRPr="007863B8" w:rsidRDefault="00995A0D" w:rsidP="007863B8">
      <w:pPr>
        <w:rPr>
          <w:sz w:val="18"/>
          <w:szCs w:val="18"/>
        </w:rPr>
      </w:pPr>
      <w:r w:rsidRPr="007863B8">
        <w:rPr>
          <w:sz w:val="18"/>
          <w:szCs w:val="18"/>
        </w:rPr>
        <w:t>More information on all current balancing services</w:t>
      </w:r>
      <w:r w:rsidR="00430D0F">
        <w:rPr>
          <w:sz w:val="18"/>
          <w:szCs w:val="18"/>
        </w:rPr>
        <w:t>, both commercial and mandatory,</w:t>
      </w:r>
      <w:r w:rsidRPr="007863B8">
        <w:rPr>
          <w:sz w:val="18"/>
          <w:szCs w:val="18"/>
        </w:rPr>
        <w:t xml:space="preserve"> can be found on the National Grid website:  </w:t>
      </w:r>
    </w:p>
    <w:p w:rsidR="00995A0D" w:rsidRPr="00995A0D" w:rsidRDefault="00C36B08" w:rsidP="007863B8">
      <w:hyperlink r:id="rId9" w:history="1">
        <w:r w:rsidR="00995A0D" w:rsidRPr="007863B8">
          <w:rPr>
            <w:rStyle w:val="Hyperlink"/>
            <w:sz w:val="18"/>
            <w:szCs w:val="18"/>
          </w:rPr>
          <w:t>http://www2.nationalgrid.com/UK/Services/Balancing-services/</w:t>
        </w:r>
      </w:hyperlink>
      <w:r w:rsidR="00995A0D" w:rsidRPr="007863B8">
        <w:rPr>
          <w:sz w:val="18"/>
          <w:szCs w:val="18"/>
        </w:rPr>
        <w:t>.</w:t>
      </w:r>
    </w:p>
    <w:sectPr w:rsidR="00995A0D" w:rsidRPr="00995A0D" w:rsidSect="006B4902">
      <w:footerReference w:type="default" r:id="rId10"/>
      <w:pgSz w:w="11906" w:h="16838" w:code="9"/>
      <w:pgMar w:top="541" w:right="1701" w:bottom="1361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08" w:rsidRDefault="00C36B08">
      <w:r>
        <w:separator/>
      </w:r>
    </w:p>
  </w:endnote>
  <w:endnote w:type="continuationSeparator" w:id="0">
    <w:p w:rsidR="00C36B08" w:rsidRDefault="00C3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AD" w:rsidRDefault="00BF54BE">
    <w:pPr>
      <w:pStyle w:val="Footer"/>
    </w:pPr>
    <w:r>
      <w:t>Please Turn Over</w:t>
    </w:r>
  </w:p>
  <w:p w:rsidR="003310AD" w:rsidRDefault="00331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08" w:rsidRDefault="00C36B08">
      <w:r>
        <w:separator/>
      </w:r>
    </w:p>
  </w:footnote>
  <w:footnote w:type="continuationSeparator" w:id="0">
    <w:p w:rsidR="00C36B08" w:rsidRDefault="00C3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19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1550A"/>
    <w:multiLevelType w:val="hybridMultilevel"/>
    <w:tmpl w:val="4BC2D030"/>
    <w:lvl w:ilvl="0" w:tplc="5D04DFD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F22B02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BCAF86">
      <w:start w:val="165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E2284A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1E886C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20CC12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FCA52C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E88502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940C6C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72D72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EA4776"/>
    <w:multiLevelType w:val="multilevel"/>
    <w:tmpl w:val="814600C0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3C1BA3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B131BC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5F3DCB"/>
    <w:multiLevelType w:val="hybridMultilevel"/>
    <w:tmpl w:val="BD52665A"/>
    <w:lvl w:ilvl="0" w:tplc="D9A88D3C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6BC331A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B329D3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133FF6"/>
    <w:multiLevelType w:val="singleLevel"/>
    <w:tmpl w:val="3398BB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325E76B3"/>
    <w:multiLevelType w:val="hybridMultilevel"/>
    <w:tmpl w:val="E09205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4F728BF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AD654A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7E3A21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4C7F6A"/>
    <w:multiLevelType w:val="hybridMultilevel"/>
    <w:tmpl w:val="B524A6B4"/>
    <w:lvl w:ilvl="0" w:tplc="D8061EE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F0BA34">
      <w:start w:val="2244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B07692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4AD4A4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E8E4EA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6F5D6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B8144A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C83D7C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AA95AE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0902073"/>
    <w:multiLevelType w:val="hybridMultilevel"/>
    <w:tmpl w:val="2EFE4242"/>
    <w:lvl w:ilvl="0" w:tplc="2A7AE36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48F398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00CF5A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6C2E48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EE4C86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24110E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527B3C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34D358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49656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47D3422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FB1FDA"/>
    <w:multiLevelType w:val="singleLevel"/>
    <w:tmpl w:val="D9A88D3C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18">
    <w:nsid w:val="519041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AB52045"/>
    <w:multiLevelType w:val="singleLevel"/>
    <w:tmpl w:val="3398BB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>
    <w:nsid w:val="608A65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6E2A36"/>
    <w:multiLevelType w:val="multilevel"/>
    <w:tmpl w:val="BD52665A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A771806"/>
    <w:multiLevelType w:val="hybridMultilevel"/>
    <w:tmpl w:val="814600C0"/>
    <w:lvl w:ilvl="0" w:tplc="D9A88D3C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ACF4F7B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BA49C9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6109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9E2293C"/>
    <w:multiLevelType w:val="singleLevel"/>
    <w:tmpl w:val="08FA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B456844"/>
    <w:multiLevelType w:val="hybridMultilevel"/>
    <w:tmpl w:val="79785F84"/>
    <w:lvl w:ilvl="0" w:tplc="B44697C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42EAFA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9E8F22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D2E2D2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9C2D02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AEC78E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8AC3E6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9CFF9C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FA411C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D4D40C6"/>
    <w:multiLevelType w:val="singleLevel"/>
    <w:tmpl w:val="3398BB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19"/>
  </w:num>
  <w:num w:numId="2">
    <w:abstractNumId w:val="19"/>
  </w:num>
  <w:num w:numId="3">
    <w:abstractNumId w:val="12"/>
  </w:num>
  <w:num w:numId="4">
    <w:abstractNumId w:val="5"/>
  </w:num>
  <w:num w:numId="5">
    <w:abstractNumId w:val="19"/>
  </w:num>
  <w:num w:numId="6">
    <w:abstractNumId w:val="19"/>
  </w:num>
  <w:num w:numId="7">
    <w:abstractNumId w:val="13"/>
  </w:num>
  <w:num w:numId="8">
    <w:abstractNumId w:val="19"/>
  </w:num>
  <w:num w:numId="9">
    <w:abstractNumId w:val="8"/>
  </w:num>
  <w:num w:numId="10">
    <w:abstractNumId w:val="23"/>
  </w:num>
  <w:num w:numId="11">
    <w:abstractNumId w:val="7"/>
  </w:num>
  <w:num w:numId="12">
    <w:abstractNumId w:val="19"/>
  </w:num>
  <w:num w:numId="13">
    <w:abstractNumId w:val="16"/>
  </w:num>
  <w:num w:numId="14">
    <w:abstractNumId w:val="11"/>
  </w:num>
  <w:num w:numId="15">
    <w:abstractNumId w:val="4"/>
  </w:num>
  <w:num w:numId="16">
    <w:abstractNumId w:val="19"/>
  </w:num>
  <w:num w:numId="17">
    <w:abstractNumId w:val="26"/>
  </w:num>
  <w:num w:numId="18">
    <w:abstractNumId w:val="24"/>
  </w:num>
  <w:num w:numId="19">
    <w:abstractNumId w:val="19"/>
  </w:num>
  <w:num w:numId="20">
    <w:abstractNumId w:val="17"/>
  </w:num>
  <w:num w:numId="21">
    <w:abstractNumId w:val="22"/>
  </w:num>
  <w:num w:numId="22">
    <w:abstractNumId w:val="6"/>
  </w:num>
  <w:num w:numId="23">
    <w:abstractNumId w:val="3"/>
  </w:num>
  <w:num w:numId="24">
    <w:abstractNumId w:val="21"/>
  </w:num>
  <w:num w:numId="25">
    <w:abstractNumId w:val="10"/>
  </w:num>
  <w:num w:numId="26">
    <w:abstractNumId w:val="27"/>
  </w:num>
  <w:num w:numId="27">
    <w:abstractNumId w:val="1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B80"/>
    <w:rsid w:val="00012C99"/>
    <w:rsid w:val="000206D9"/>
    <w:rsid w:val="00021ECE"/>
    <w:rsid w:val="0006167B"/>
    <w:rsid w:val="00080E24"/>
    <w:rsid w:val="00081BDA"/>
    <w:rsid w:val="00091FEC"/>
    <w:rsid w:val="00096E54"/>
    <w:rsid w:val="000B76F7"/>
    <w:rsid w:val="000C1C84"/>
    <w:rsid w:val="000C548F"/>
    <w:rsid w:val="00116AC9"/>
    <w:rsid w:val="00163FC0"/>
    <w:rsid w:val="001A43E6"/>
    <w:rsid w:val="001B580D"/>
    <w:rsid w:val="001F600D"/>
    <w:rsid w:val="00206558"/>
    <w:rsid w:val="0024238B"/>
    <w:rsid w:val="00252DA5"/>
    <w:rsid w:val="002A0782"/>
    <w:rsid w:val="002A7542"/>
    <w:rsid w:val="002C719E"/>
    <w:rsid w:val="002D2EE2"/>
    <w:rsid w:val="003076FB"/>
    <w:rsid w:val="003310AD"/>
    <w:rsid w:val="00382173"/>
    <w:rsid w:val="00386F3D"/>
    <w:rsid w:val="00396815"/>
    <w:rsid w:val="00396926"/>
    <w:rsid w:val="003C4150"/>
    <w:rsid w:val="003E24A8"/>
    <w:rsid w:val="003E3288"/>
    <w:rsid w:val="003F3D4F"/>
    <w:rsid w:val="004069CF"/>
    <w:rsid w:val="00430D0F"/>
    <w:rsid w:val="00464E7B"/>
    <w:rsid w:val="00492EDF"/>
    <w:rsid w:val="00494A45"/>
    <w:rsid w:val="004B75A1"/>
    <w:rsid w:val="004C1B64"/>
    <w:rsid w:val="004D3A17"/>
    <w:rsid w:val="004E79DC"/>
    <w:rsid w:val="00513F25"/>
    <w:rsid w:val="00525F3F"/>
    <w:rsid w:val="00536593"/>
    <w:rsid w:val="00555184"/>
    <w:rsid w:val="00565C27"/>
    <w:rsid w:val="00567581"/>
    <w:rsid w:val="005B1C1A"/>
    <w:rsid w:val="005F6699"/>
    <w:rsid w:val="00616D2B"/>
    <w:rsid w:val="00663EED"/>
    <w:rsid w:val="0066707D"/>
    <w:rsid w:val="006B4902"/>
    <w:rsid w:val="006D3A0C"/>
    <w:rsid w:val="006F0821"/>
    <w:rsid w:val="007008F8"/>
    <w:rsid w:val="007152D8"/>
    <w:rsid w:val="00740861"/>
    <w:rsid w:val="0076491C"/>
    <w:rsid w:val="00767903"/>
    <w:rsid w:val="007863B8"/>
    <w:rsid w:val="007927ED"/>
    <w:rsid w:val="007A5A94"/>
    <w:rsid w:val="007D6700"/>
    <w:rsid w:val="007E0670"/>
    <w:rsid w:val="007E51D5"/>
    <w:rsid w:val="007F47F1"/>
    <w:rsid w:val="0083010C"/>
    <w:rsid w:val="008758D7"/>
    <w:rsid w:val="008837D0"/>
    <w:rsid w:val="00886106"/>
    <w:rsid w:val="008A69C3"/>
    <w:rsid w:val="008A7857"/>
    <w:rsid w:val="008E4C82"/>
    <w:rsid w:val="008F6756"/>
    <w:rsid w:val="00917A7B"/>
    <w:rsid w:val="00942436"/>
    <w:rsid w:val="009455C0"/>
    <w:rsid w:val="00945A08"/>
    <w:rsid w:val="009546F5"/>
    <w:rsid w:val="00962630"/>
    <w:rsid w:val="00981B80"/>
    <w:rsid w:val="0098280C"/>
    <w:rsid w:val="00995A0D"/>
    <w:rsid w:val="009A1C7E"/>
    <w:rsid w:val="009B31F1"/>
    <w:rsid w:val="009B59EE"/>
    <w:rsid w:val="009D5F81"/>
    <w:rsid w:val="00A80F2C"/>
    <w:rsid w:val="00A81E4D"/>
    <w:rsid w:val="00AA4241"/>
    <w:rsid w:val="00AB7B37"/>
    <w:rsid w:val="00AC2A3D"/>
    <w:rsid w:val="00AC6060"/>
    <w:rsid w:val="00AD4560"/>
    <w:rsid w:val="00B06D84"/>
    <w:rsid w:val="00B14F8C"/>
    <w:rsid w:val="00B15190"/>
    <w:rsid w:val="00B33401"/>
    <w:rsid w:val="00B42E86"/>
    <w:rsid w:val="00B61917"/>
    <w:rsid w:val="00B6434E"/>
    <w:rsid w:val="00B7299A"/>
    <w:rsid w:val="00B74A04"/>
    <w:rsid w:val="00B817D9"/>
    <w:rsid w:val="00B831DB"/>
    <w:rsid w:val="00B94481"/>
    <w:rsid w:val="00B948A1"/>
    <w:rsid w:val="00BA7FC7"/>
    <w:rsid w:val="00BD0264"/>
    <w:rsid w:val="00BD3AB5"/>
    <w:rsid w:val="00BF54BE"/>
    <w:rsid w:val="00C03972"/>
    <w:rsid w:val="00C154F4"/>
    <w:rsid w:val="00C27591"/>
    <w:rsid w:val="00C36B08"/>
    <w:rsid w:val="00C53BD3"/>
    <w:rsid w:val="00C53E29"/>
    <w:rsid w:val="00C60666"/>
    <w:rsid w:val="00C7185B"/>
    <w:rsid w:val="00C773BB"/>
    <w:rsid w:val="00C77EC1"/>
    <w:rsid w:val="00C86545"/>
    <w:rsid w:val="00C96C5D"/>
    <w:rsid w:val="00C96F28"/>
    <w:rsid w:val="00CB2532"/>
    <w:rsid w:val="00CB4F72"/>
    <w:rsid w:val="00CD2F9F"/>
    <w:rsid w:val="00D14CC2"/>
    <w:rsid w:val="00D24ACA"/>
    <w:rsid w:val="00D57257"/>
    <w:rsid w:val="00D7142B"/>
    <w:rsid w:val="00D76F3F"/>
    <w:rsid w:val="00D817AC"/>
    <w:rsid w:val="00D82F56"/>
    <w:rsid w:val="00DA14E8"/>
    <w:rsid w:val="00DA4FB8"/>
    <w:rsid w:val="00DB61B9"/>
    <w:rsid w:val="00DC1C5F"/>
    <w:rsid w:val="00DC62BF"/>
    <w:rsid w:val="00DE2963"/>
    <w:rsid w:val="00DF317D"/>
    <w:rsid w:val="00E50B70"/>
    <w:rsid w:val="00EF50B5"/>
    <w:rsid w:val="00EF5C3E"/>
    <w:rsid w:val="00F20AB7"/>
    <w:rsid w:val="00F212E1"/>
    <w:rsid w:val="00F24330"/>
    <w:rsid w:val="00F421EC"/>
    <w:rsid w:val="00F429FE"/>
    <w:rsid w:val="00F737F8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p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b/>
      <w:i/>
    </w:rPr>
  </w:style>
  <w:style w:type="character" w:styleId="CommentReference">
    <w:name w:val="annotation reference"/>
    <w:semiHidden/>
    <w:rsid w:val="002A0782"/>
    <w:rPr>
      <w:sz w:val="16"/>
      <w:szCs w:val="16"/>
    </w:rPr>
  </w:style>
  <w:style w:type="paragraph" w:styleId="CommentText">
    <w:name w:val="annotation text"/>
    <w:basedOn w:val="Normal"/>
    <w:semiHidden/>
    <w:rsid w:val="002A0782"/>
    <w:rPr>
      <w:sz w:val="20"/>
    </w:rPr>
  </w:style>
  <w:style w:type="paragraph" w:styleId="CommentSubject">
    <w:name w:val="annotation subject"/>
    <w:basedOn w:val="CommentText"/>
    <w:next w:val="CommentText"/>
    <w:semiHidden/>
    <w:rsid w:val="002A0782"/>
    <w:rPr>
      <w:b/>
      <w:bCs/>
    </w:rPr>
  </w:style>
  <w:style w:type="paragraph" w:styleId="BalloonText">
    <w:name w:val="Balloon Text"/>
    <w:basedOn w:val="Normal"/>
    <w:semiHidden/>
    <w:rsid w:val="002A078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D2F9F"/>
    <w:rPr>
      <w:sz w:val="20"/>
    </w:rPr>
  </w:style>
  <w:style w:type="character" w:styleId="FootnoteReference">
    <w:name w:val="footnote reference"/>
    <w:semiHidden/>
    <w:rsid w:val="00CD2F9F"/>
    <w:rPr>
      <w:vertAlign w:val="superscript"/>
    </w:rPr>
  </w:style>
  <w:style w:type="character" w:styleId="Hyperlink">
    <w:name w:val="Hyperlink"/>
    <w:rsid w:val="00CD2F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593"/>
    <w:pPr>
      <w:ind w:left="720"/>
    </w:pPr>
  </w:style>
  <w:style w:type="character" w:customStyle="1" w:styleId="FooterChar">
    <w:name w:val="Footer Char"/>
    <w:link w:val="Footer"/>
    <w:uiPriority w:val="99"/>
    <w:rsid w:val="003310A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7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2.nationalgrid.com/UK/Services/Balancing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4093-1240-4EDA-B1DF-5789EA8B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Balancing Services Groups</vt:lpstr>
    </vt:vector>
  </TitlesOfParts>
  <Company>NGC</Company>
  <LinksUpToDate>false</LinksUpToDate>
  <CharactersWithSpaces>2574</CharactersWithSpaces>
  <SharedDoc>false</SharedDoc>
  <HLinks>
    <vt:vector size="18" baseType="variant"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http://www.nationalgrid.com/uk/Electricity/Balancing/CommercialBalancingServicesGroup/</vt:lpwstr>
      </vt:variant>
      <vt:variant>
        <vt:lpwstr/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http://www.nationalgrid.com/uk/Electricity/Codes/systemcode/workingstandinggroups/bssg/index.htm</vt:lpwstr>
      </vt:variant>
      <vt:variant>
        <vt:lpwstr/>
      </vt:variant>
      <vt:variant>
        <vt:i4>2162813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http://www.nationalgrid.com/uk/Electricity/Codes/systemcode/contracts/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Balancing Services Groups</dc:title>
  <dc:creator>Richard Phillips</dc:creator>
  <cp:lastModifiedBy>National Grid</cp:lastModifiedBy>
  <cp:revision>2</cp:revision>
  <cp:lastPrinted>2014-11-26T10:58:00Z</cp:lastPrinted>
  <dcterms:created xsi:type="dcterms:W3CDTF">2015-01-19T11:33:00Z</dcterms:created>
  <dcterms:modified xsi:type="dcterms:W3CDTF">2015-01-19T11:33:00Z</dcterms:modified>
</cp:coreProperties>
</file>