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1B951027"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00D64A20">
              <w:rPr>
                <w:rFonts w:cs="Arial"/>
                <w:b/>
                <w:color w:val="F26522" w:themeColor="accent1"/>
                <w:sz w:val="56"/>
                <w:szCs w:val="56"/>
              </w:rPr>
              <w:t>376</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bookmarkEnd w:id="1"/>
          <w:p w14:paraId="35ABBE36" w14:textId="7283246D" w:rsidR="005C2D1D" w:rsidRPr="00A6159E" w:rsidRDefault="005C2D1D" w:rsidP="00D64A20">
            <w:pPr>
              <w:spacing w:before="0" w:after="240"/>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3"/>
            <w:r w:rsidRPr="00FB2FB5">
              <w:rPr>
                <w:rFonts w:cs="Arial"/>
                <w:b/>
                <w:bCs/>
                <w:color w:val="FFFFFF" w:themeColor="background1"/>
                <w:sz w:val="24"/>
              </w:rPr>
              <w:t>Guidance</w:t>
            </w:r>
            <w:commentRangeEnd w:id="3"/>
            <w:r w:rsidR="00927745">
              <w:rPr>
                <w:rStyle w:val="CommentReference"/>
              </w:rPr>
              <w:commentReference w:id="3"/>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r w:rsidR="001D435D">
              <w:rPr>
                <w:rFonts w:cs="Arial"/>
                <w:bCs/>
                <w:color w:val="F26522" w:themeColor="accent1"/>
                <w:sz w:val="24"/>
              </w:rPr>
              <w:t>the</w:t>
            </w:r>
            <w:r w:rsidR="002C2626" w:rsidRPr="002C2626">
              <w:rPr>
                <w:rFonts w:cs="Arial"/>
                <w:bCs/>
                <w:color w:val="F26522" w:themeColor="accent1"/>
                <w:sz w:val="24"/>
              </w:rPr>
              <w:t xml:space="preserve"> majority of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4" w:name="_Executive_Summary"/>
      <w:bookmarkStart w:id="5" w:name="_Workgroup_Consultation_Introduction"/>
      <w:bookmarkEnd w:id="4"/>
      <w:bookmarkEnd w:id="5"/>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6"/>
      <w:r w:rsidRPr="000B6ADA">
        <w:rPr>
          <w:sz w:val="24"/>
        </w:rPr>
        <w:t>[Insert</w:t>
      </w:r>
      <w:r>
        <w:rPr>
          <w:sz w:val="24"/>
        </w:rPr>
        <w:t xml:space="preserve"> your solution</w:t>
      </w:r>
      <w:r w:rsidRPr="000B6ADA">
        <w:rPr>
          <w:sz w:val="24"/>
        </w:rPr>
        <w:t>]</w:t>
      </w:r>
      <w:commentRangeEnd w:id="6"/>
      <w:r>
        <w:rPr>
          <w:rStyle w:val="CommentReference"/>
        </w:rPr>
        <w:commentReference w:id="6"/>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7"/>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7"/>
            <w:r w:rsidR="006277B0">
              <w:rPr>
                <w:rStyle w:val="CommentReference"/>
                <w:color w:val="auto"/>
              </w:rPr>
              <w:commentReference w:id="7"/>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8"/>
            <w:r w:rsidRPr="000237CD">
              <w:rPr>
                <w:b/>
                <w:sz w:val="24"/>
              </w:rPr>
              <w:t>Positive/Negative/None:</w:t>
            </w:r>
            <w:r>
              <w:rPr>
                <w:sz w:val="24"/>
              </w:rPr>
              <w:t xml:space="preserve"> [Please provide rationale]</w:t>
            </w:r>
            <w:commentRangeEnd w:id="8"/>
            <w:r w:rsidR="006E5C07">
              <w:rPr>
                <w:rStyle w:val="CommentReference"/>
              </w:rPr>
              <w:commentReference w:id="8"/>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2F61FB">
        <w:trPr>
          <w:trHeight w:val="397"/>
        </w:trPr>
        <w:tc>
          <w:tcPr>
            <w:tcW w:w="9209" w:type="dxa"/>
            <w:gridSpan w:val="2"/>
          </w:tcPr>
          <w:p w14:paraId="33C7F487" w14:textId="430A14C4" w:rsidR="00D523ED" w:rsidRPr="002B5ADD" w:rsidRDefault="00D523ED" w:rsidP="002B5ADD">
            <w:pPr>
              <w:spacing w:before="40"/>
              <w:ind w:left="113" w:right="113"/>
              <w:rPr>
                <w:sz w:val="24"/>
              </w:rPr>
            </w:pPr>
            <w:r w:rsidRPr="00BD5234">
              <w:rPr>
                <w:rFonts w:cs="Arial"/>
                <w:sz w:val="24"/>
              </w:rPr>
              <w:t>*</w:t>
            </w:r>
            <w:r w:rsidR="001C36EA" w:rsidRPr="001C36EA">
              <w:rPr>
                <w:rFonts w:cs="Arial"/>
                <w:sz w:val="24"/>
              </w:rPr>
              <w:t>The Electricity Regulation referred to in objective (</w:t>
            </w:r>
            <w:r w:rsidR="001C36EA">
              <w:rPr>
                <w:rFonts w:cs="Arial"/>
                <w:sz w:val="24"/>
              </w:rPr>
              <w:t>d</w:t>
            </w:r>
            <w:r w:rsidR="001C36EA" w:rsidRPr="001C36EA">
              <w:rPr>
                <w:rFonts w:cs="Arial"/>
                <w:sz w:val="24"/>
              </w:rPr>
              <w:t>) is Regulation (EU) 2019/943 of the European Parliament and of the Council of 5 June 2019 on the internal market for electricity (recast) as it has effect immediately before IP completion day as read with the modifications set out in the SI 2020/1006.</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AC159B" w:rsidRPr="00314414" w14:paraId="3B15CD65" w14:textId="77777777" w:rsidTr="002F61FB">
        <w:trPr>
          <w:trHeight w:hRule="exact" w:val="561"/>
        </w:trPr>
        <w:tc>
          <w:tcPr>
            <w:tcW w:w="9209" w:type="dxa"/>
            <w:gridSpan w:val="2"/>
            <w:shd w:val="clear" w:color="auto" w:fill="F26522" w:themeFill="accent1"/>
            <w:vAlign w:val="center"/>
          </w:tcPr>
          <w:p w14:paraId="020CAB57" w14:textId="3BE0FC6B" w:rsidR="00AC159B" w:rsidRPr="00314414" w:rsidRDefault="000B6ADA" w:rsidP="002F61FB">
            <w:pPr>
              <w:pStyle w:val="TableHeading"/>
              <w:rPr>
                <w:rFonts w:cs="Arial"/>
                <w:b/>
                <w:szCs w:val="20"/>
              </w:rPr>
            </w:pPr>
            <w:commentRangeStart w:id="9"/>
            <w:r w:rsidRPr="000B6ADA">
              <w:rPr>
                <w:rFonts w:cs="Arial"/>
                <w:b/>
                <w:color w:val="FFFFFF" w:themeColor="background1"/>
                <w:sz w:val="24"/>
                <w:szCs w:val="20"/>
              </w:rPr>
              <w:t>Proposer’s Assessment against C</w:t>
            </w:r>
            <w:r>
              <w:rPr>
                <w:rFonts w:cs="Arial"/>
                <w:b/>
                <w:color w:val="FFFFFF" w:themeColor="background1"/>
                <w:sz w:val="24"/>
                <w:szCs w:val="20"/>
              </w:rPr>
              <w:t>USC Non-Charging</w:t>
            </w:r>
            <w:r w:rsidRPr="000B6ADA">
              <w:rPr>
                <w:rFonts w:cs="Arial"/>
                <w:b/>
                <w:color w:val="FFFFFF" w:themeColor="background1"/>
                <w:sz w:val="24"/>
                <w:szCs w:val="20"/>
              </w:rPr>
              <w:t xml:space="preserve"> Objectives  </w:t>
            </w:r>
            <w:commentRangeEnd w:id="9"/>
            <w:r w:rsidR="00BD4EE4">
              <w:rPr>
                <w:rStyle w:val="CommentReference"/>
                <w:color w:val="auto"/>
              </w:rPr>
              <w:commentReference w:id="9"/>
            </w:r>
          </w:p>
        </w:tc>
      </w:tr>
      <w:tr w:rsidR="00AC159B" w:rsidRPr="006A726B" w14:paraId="6FDF0090" w14:textId="77777777" w:rsidTr="00AC159B">
        <w:trPr>
          <w:trHeight w:val="397"/>
        </w:trPr>
        <w:tc>
          <w:tcPr>
            <w:tcW w:w="6478" w:type="dxa"/>
          </w:tcPr>
          <w:p w14:paraId="4E757CA7" w14:textId="77777777" w:rsidR="00AC159B" w:rsidRPr="006A726B" w:rsidRDefault="00AC159B" w:rsidP="002F61FB">
            <w:pPr>
              <w:ind w:left="113" w:right="113"/>
              <w:rPr>
                <w:rFonts w:cs="Arial"/>
                <w:b/>
                <w:sz w:val="24"/>
                <w:szCs w:val="20"/>
              </w:rPr>
            </w:pPr>
            <w:r w:rsidRPr="006A726B">
              <w:rPr>
                <w:b/>
                <w:sz w:val="24"/>
                <w:szCs w:val="20"/>
              </w:rPr>
              <w:t>Relevant Objective</w:t>
            </w:r>
          </w:p>
        </w:tc>
        <w:tc>
          <w:tcPr>
            <w:tcW w:w="2731" w:type="dxa"/>
          </w:tcPr>
          <w:p w14:paraId="0C3BDECC" w14:textId="77777777" w:rsidR="00AC159B" w:rsidRPr="006A726B" w:rsidRDefault="00AC159B" w:rsidP="002F61FB">
            <w:pPr>
              <w:ind w:left="113" w:right="113"/>
              <w:rPr>
                <w:b/>
                <w:sz w:val="24"/>
                <w:szCs w:val="20"/>
              </w:rPr>
            </w:pPr>
            <w:r w:rsidRPr="006A726B">
              <w:rPr>
                <w:b/>
                <w:sz w:val="24"/>
                <w:szCs w:val="20"/>
              </w:rPr>
              <w:t>Identified impact</w:t>
            </w:r>
          </w:p>
        </w:tc>
      </w:tr>
      <w:tr w:rsidR="000B6FBD" w:rsidRPr="006A726B" w14:paraId="7DB47E0B" w14:textId="77777777" w:rsidTr="00AC159B">
        <w:trPr>
          <w:trHeight w:val="397"/>
        </w:trPr>
        <w:tc>
          <w:tcPr>
            <w:tcW w:w="6478" w:type="dxa"/>
          </w:tcPr>
          <w:p w14:paraId="592586F4"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(a)</w:t>
            </w:r>
            <w:r w:rsidRPr="00BD5234">
              <w:rPr>
                <w:rFonts w:cs="Arial"/>
                <w:color w:val="auto"/>
                <w:sz w:val="24"/>
              </w:rPr>
              <w:tab/>
              <w:t>The efficient discharge by the Licensee of the obligations imposed on it by the Act and the Transmission Licence;</w:t>
            </w:r>
          </w:p>
        </w:tc>
        <w:tc>
          <w:tcPr>
            <w:tcW w:w="2731" w:type="dxa"/>
          </w:tcPr>
          <w:p w14:paraId="0FB71530" w14:textId="24FA9F6C" w:rsidR="000B6FBD" w:rsidRPr="006A726B" w:rsidRDefault="000B6FBD" w:rsidP="000B6FBD">
            <w:pPr>
              <w:spacing w:before="40"/>
              <w:ind w:left="113"/>
              <w:rPr>
                <w:sz w:val="24"/>
                <w:szCs w:val="20"/>
              </w:rPr>
            </w:pPr>
            <w:r w:rsidRPr="00ED32C9">
              <w:rPr>
                <w:b/>
                <w:sz w:val="24"/>
              </w:rPr>
              <w:t>Positive/Negative/None:</w:t>
            </w:r>
            <w:r w:rsidRPr="00ED32C9">
              <w:rPr>
                <w:sz w:val="24"/>
              </w:rPr>
              <w:t xml:space="preserve"> [Please provide rationale]</w:t>
            </w:r>
          </w:p>
        </w:tc>
      </w:tr>
      <w:tr w:rsidR="000B6FBD" w:rsidRPr="006A726B" w14:paraId="50E6A3C0" w14:textId="77777777" w:rsidTr="00AC159B">
        <w:trPr>
          <w:trHeight w:val="397"/>
        </w:trPr>
        <w:tc>
          <w:tcPr>
            <w:tcW w:w="6478" w:type="dxa"/>
          </w:tcPr>
          <w:p w14:paraId="10546143"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(b)</w:t>
            </w:r>
            <w:r w:rsidRPr="00BD5234">
              <w:rPr>
                <w:rFonts w:cs="Arial"/>
                <w:color w:val="auto"/>
                <w:sz w:val="24"/>
              </w:rPr>
              <w:tab/>
              <w:t>Facilitating effective competition in the generation and supply of electricity, and (so far as consistent therewith) facilitating such competition in the sale, distribution and purchase of electricity;</w:t>
            </w:r>
          </w:p>
        </w:tc>
        <w:tc>
          <w:tcPr>
            <w:tcW w:w="2731" w:type="dxa"/>
          </w:tcPr>
          <w:p w14:paraId="10240529" w14:textId="6F7E873C"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34F24340" w14:textId="77777777" w:rsidTr="00AC159B">
        <w:trPr>
          <w:trHeight w:val="397"/>
        </w:trPr>
        <w:tc>
          <w:tcPr>
            <w:tcW w:w="6478" w:type="dxa"/>
          </w:tcPr>
          <w:p w14:paraId="3B24DCE2"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(c)</w:t>
            </w:r>
            <w:r w:rsidRPr="00BD5234">
              <w:rPr>
                <w:rFonts w:cs="Arial"/>
                <w:color w:val="auto"/>
                <w:sz w:val="24"/>
              </w:rPr>
              <w:tab/>
              <w:t>Compliance with the Electricity Regulation and any relevant legally binding decision of the European Commission and/or the Agency *; and</w:t>
            </w:r>
          </w:p>
        </w:tc>
        <w:tc>
          <w:tcPr>
            <w:tcW w:w="2731" w:type="dxa"/>
          </w:tcPr>
          <w:p w14:paraId="103AA5AB" w14:textId="61066AA9"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1F3D76F1" w14:textId="77777777" w:rsidTr="00AC159B">
        <w:trPr>
          <w:trHeight w:val="397"/>
        </w:trPr>
        <w:tc>
          <w:tcPr>
            <w:tcW w:w="6478" w:type="dxa"/>
          </w:tcPr>
          <w:p w14:paraId="4D0AB595"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(d) Promoting efficiency in the implementation and administration of the CUSC arrangements.</w:t>
            </w:r>
          </w:p>
        </w:tc>
        <w:tc>
          <w:tcPr>
            <w:tcW w:w="2731" w:type="dxa"/>
          </w:tcPr>
          <w:p w14:paraId="2EE4EBF9" w14:textId="27069344"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AC159B" w:rsidRPr="006A726B" w14:paraId="2DD31E56" w14:textId="77777777" w:rsidTr="002F61FB">
        <w:trPr>
          <w:trHeight w:val="397"/>
        </w:trPr>
        <w:tc>
          <w:tcPr>
            <w:tcW w:w="9209" w:type="dxa"/>
            <w:gridSpan w:val="2"/>
          </w:tcPr>
          <w:p w14:paraId="1408B9F8" w14:textId="076564C6" w:rsidR="00AC159B" w:rsidRPr="006A726B" w:rsidRDefault="00AC159B" w:rsidP="002F61FB">
            <w:pPr>
              <w:spacing w:before="40"/>
              <w:ind w:left="113" w:right="113"/>
              <w:rPr>
                <w:sz w:val="24"/>
                <w:szCs w:val="20"/>
              </w:rPr>
            </w:pPr>
            <w:r w:rsidRPr="00BD5234">
              <w:rPr>
                <w:rFonts w:cs="Arial"/>
                <w:sz w:val="24"/>
              </w:rPr>
              <w:t>*</w:t>
            </w:r>
            <w:r w:rsidR="001C36EA">
              <w:rPr>
                <w:rFonts w:cs="Arial"/>
                <w:sz w:val="24"/>
              </w:rPr>
              <w:t>T</w:t>
            </w:r>
            <w:r w:rsidR="001C36EA" w:rsidRPr="001C36EA">
              <w:rPr>
                <w:rFonts w:cs="Arial"/>
                <w:sz w:val="24"/>
              </w:rPr>
              <w:t>he Electricity Regulation referred to in objective (c) is Regulation (EU) 2019/943 of the European Parliament and of the Council of 5 June 2019 on the internal market for electricity (recast) as it has effect immediately before IP completion day as read with the modifications set out in the SI 2020/1006.</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10"/>
      <w:r w:rsidRPr="00B72194">
        <w:rPr>
          <w:sz w:val="24"/>
        </w:rPr>
        <w:t>[</w:t>
      </w:r>
      <w:r>
        <w:rPr>
          <w:sz w:val="24"/>
        </w:rPr>
        <w:t>Insert the date which you are proposing the change is made to the code</w:t>
      </w:r>
      <w:r w:rsidRPr="00B72194">
        <w:rPr>
          <w:sz w:val="24"/>
        </w:rPr>
        <w:t>]</w:t>
      </w:r>
      <w:commentRangeEnd w:id="10"/>
      <w:r>
        <w:rPr>
          <w:rStyle w:val="CommentReference"/>
        </w:rPr>
        <w:commentReference w:id="10"/>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1"/>
      <w:r w:rsidRPr="00AC04D3">
        <w:rPr>
          <w:sz w:val="24"/>
        </w:rPr>
        <w:t>[Insert approach]</w:t>
      </w:r>
      <w:commentRangeEnd w:id="11"/>
      <w:r>
        <w:rPr>
          <w:rStyle w:val="CommentReference"/>
        </w:rPr>
        <w:commentReference w:id="11"/>
      </w:r>
    </w:p>
    <w:p w14:paraId="0E267E81" w14:textId="75CFE56A" w:rsidR="00E65196" w:rsidRDefault="00E65196" w:rsidP="00E25874">
      <w:bookmarkStart w:id="12" w:name="_Workgroup_Consultation_1"/>
      <w:bookmarkEnd w:id="12"/>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3" w:name="_How_to_respond"/>
      <w:bookmarkEnd w:id="13"/>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4"/>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4"/>
            <w:r w:rsidR="00AC04D3">
              <w:rPr>
                <w:rStyle w:val="CommentReference"/>
                <w:lang w:val="en-GB"/>
              </w:rPr>
              <w:commentReference w:id="14"/>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5"/>
      <w:r w:rsidRPr="00250A22">
        <w:rPr>
          <w:b/>
          <w:sz w:val="24"/>
        </w:rPr>
        <w:t>Reference material:</w:t>
      </w:r>
    </w:p>
    <w:commentRangeEnd w:id="15"/>
    <w:p w14:paraId="28DBF18E" w14:textId="3A5658B6" w:rsidR="00754610" w:rsidRDefault="00AC04D3" w:rsidP="00754610">
      <w:pPr>
        <w:pStyle w:val="ListParagraph"/>
        <w:numPr>
          <w:ilvl w:val="0"/>
          <w:numId w:val="28"/>
        </w:numPr>
        <w:rPr>
          <w:sz w:val="24"/>
        </w:rPr>
      </w:pPr>
      <w:r>
        <w:rPr>
          <w:rStyle w:val="CommentReference"/>
        </w:rPr>
        <w:commentReference w:id="15"/>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3"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6"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7"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8"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9" w:author="Guidance" w:date="2020-07-24T13:47:00Z" w:initials="01">
    <w:p w14:paraId="18838803" w14:textId="1937A5ED" w:rsidR="00BD4EE4" w:rsidRDefault="00BD4EE4" w:rsidP="00BD4EE4">
      <w:pPr>
        <w:pStyle w:val="CommentText"/>
      </w:pPr>
      <w:r>
        <w:rPr>
          <w:rStyle w:val="CommentReference"/>
        </w:rPr>
        <w:annotationRef/>
      </w:r>
      <w:r>
        <w:t>If your proposal is to change sections other than Section 14 of CUSC, please complete your assessment against the</w:t>
      </w:r>
      <w:r w:rsidR="00FC56D3">
        <w:t>se</w:t>
      </w:r>
      <w:r>
        <w:t xml:space="preserve"> </w:t>
      </w:r>
      <w:r w:rsidR="00FC56D3">
        <w:t xml:space="preserve">Non-Charging </w:t>
      </w:r>
      <w:r>
        <w:t>Objectives.</w:t>
      </w:r>
    </w:p>
    <w:p w14:paraId="09059829" w14:textId="77777777" w:rsidR="00BD4EE4" w:rsidRDefault="00BD4EE4" w:rsidP="00BD4EE4">
      <w:pPr>
        <w:pStyle w:val="CommentText"/>
      </w:pPr>
    </w:p>
    <w:p w14:paraId="39B96CC7" w14:textId="51CB67B4" w:rsidR="00BD4EE4" w:rsidRDefault="00BD4EE4" w:rsidP="00BD4EE4">
      <w:pPr>
        <w:pStyle w:val="CommentText"/>
      </w:pPr>
      <w:r>
        <w:t xml:space="preserve">If your proposal </w:t>
      </w:r>
      <w:r w:rsidR="003E2E08">
        <w:t>only affects</w:t>
      </w:r>
      <w:r>
        <w:t xml:space="preserve"> Section 14, please remove this table.</w:t>
      </w:r>
    </w:p>
  </w:comment>
  <w:comment w:id="10"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11"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4"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5"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362FCFC8" w15:done="0"/>
  <w15:commentEx w15:paraId="6902A12F" w15:done="0"/>
  <w15:commentEx w15:paraId="3136739E" w15:done="0"/>
  <w15:commentEx w15:paraId="1C4F1B28" w15:done="0"/>
  <w15:commentEx w15:paraId="318B0084" w15:done="0"/>
  <w15:commentEx w15:paraId="39B96CC7"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362FCFC8" w16cid:durableId="231581D5"/>
  <w16cid:commentId w16cid:paraId="6902A12F" w16cid:durableId="23159241"/>
  <w16cid:commentId w16cid:paraId="3136739E" w16cid:durableId="231581DC"/>
  <w16cid:commentId w16cid:paraId="1C4F1B28" w16cid:durableId="231581E0"/>
  <w16cid:commentId w16cid:paraId="318B0084" w16cid:durableId="231581E3"/>
  <w16cid:commentId w16cid:paraId="39B96CC7" w16cid:durableId="231581E4"/>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56AF6" w14:textId="77777777" w:rsidR="00F32FEB" w:rsidRDefault="00F32FEB" w:rsidP="00D06DC4">
      <w:pPr>
        <w:spacing w:before="0" w:after="0" w:line="240" w:lineRule="auto"/>
      </w:pPr>
      <w:r>
        <w:separator/>
      </w:r>
    </w:p>
  </w:endnote>
  <w:endnote w:type="continuationSeparator" w:id="0">
    <w:p w14:paraId="0A94EC38" w14:textId="77777777" w:rsidR="00F32FEB" w:rsidRDefault="00F32FEB" w:rsidP="00D06DC4">
      <w:pPr>
        <w:spacing w:before="0" w:after="0" w:line="240" w:lineRule="auto"/>
      </w:pPr>
      <w:r>
        <w:continuationSeparator/>
      </w:r>
    </w:p>
  </w:endnote>
  <w:endnote w:type="continuationNotice" w:id="1">
    <w:p w14:paraId="69B0A237" w14:textId="77777777" w:rsidR="00F32FEB" w:rsidRDefault="00F32F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B6E4" w14:textId="77777777" w:rsidR="00F32FEB" w:rsidRDefault="00F32FEB" w:rsidP="00D06DC4">
      <w:pPr>
        <w:spacing w:before="0" w:after="0" w:line="240" w:lineRule="auto"/>
      </w:pPr>
      <w:r>
        <w:separator/>
      </w:r>
    </w:p>
  </w:footnote>
  <w:footnote w:type="continuationSeparator" w:id="0">
    <w:p w14:paraId="29D698EE" w14:textId="77777777" w:rsidR="00F32FEB" w:rsidRDefault="00F32FEB" w:rsidP="00D06DC4">
      <w:pPr>
        <w:spacing w:before="0" w:after="0" w:line="240" w:lineRule="auto"/>
      </w:pPr>
      <w:r>
        <w:continuationSeparator/>
      </w:r>
    </w:p>
  </w:footnote>
  <w:footnote w:type="continuationNotice" w:id="1">
    <w:p w14:paraId="5C062A2C" w14:textId="77777777" w:rsidR="00F32FEB" w:rsidRDefault="00F32F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547B" w14:textId="71C39984" w:rsidR="00B8588F" w:rsidRDefault="00B8588F" w:rsidP="000C711B">
    <w:pPr>
      <w:pStyle w:val="Header"/>
      <w:ind w:left="720" w:firstLine="720"/>
      <w:jc w:val="right"/>
    </w:pPr>
    <w:bookmarkStart w:id="16" w:name="_Hlk31876634"/>
    <w:bookmarkStart w:id="17"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632EE1">
      <w:t xml:space="preserve">[Code Admin use] </w:t>
    </w:r>
    <w:r w:rsidR="00D039FA">
      <w:t>CMP</w:t>
    </w:r>
    <w:r w:rsidR="008C69B9" w:rsidRPr="00295110">
      <w:t>XXX</w:t>
    </w:r>
    <w:r w:rsidR="00F15028">
      <w:t xml:space="preserve"> Alternative X</w:t>
    </w:r>
    <w:r>
      <w:tab/>
    </w:r>
    <w:bookmarkEnd w:id="16"/>
    <w:bookmarkEnd w:id="17"/>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3797376">
    <w:abstractNumId w:val="25"/>
  </w:num>
  <w:num w:numId="2" w16cid:durableId="903371662">
    <w:abstractNumId w:val="6"/>
  </w:num>
  <w:num w:numId="3" w16cid:durableId="580063567">
    <w:abstractNumId w:val="33"/>
  </w:num>
  <w:num w:numId="4" w16cid:durableId="776675210">
    <w:abstractNumId w:val="17"/>
  </w:num>
  <w:num w:numId="5" w16cid:durableId="752510882">
    <w:abstractNumId w:val="9"/>
  </w:num>
  <w:num w:numId="6" w16cid:durableId="1889878901">
    <w:abstractNumId w:val="18"/>
  </w:num>
  <w:num w:numId="7" w16cid:durableId="677853729">
    <w:abstractNumId w:val="12"/>
  </w:num>
  <w:num w:numId="8" w16cid:durableId="1049377332">
    <w:abstractNumId w:val="42"/>
  </w:num>
  <w:num w:numId="9" w16cid:durableId="586620300">
    <w:abstractNumId w:val="16"/>
  </w:num>
  <w:num w:numId="10" w16cid:durableId="741414908">
    <w:abstractNumId w:val="5"/>
  </w:num>
  <w:num w:numId="11" w16cid:durableId="1370564652">
    <w:abstractNumId w:val="10"/>
  </w:num>
  <w:num w:numId="12" w16cid:durableId="1319924234">
    <w:abstractNumId w:val="38"/>
  </w:num>
  <w:num w:numId="13" w16cid:durableId="820076603">
    <w:abstractNumId w:val="24"/>
  </w:num>
  <w:num w:numId="14" w16cid:durableId="1948538090">
    <w:abstractNumId w:val="20"/>
  </w:num>
  <w:num w:numId="15" w16cid:durableId="1364400933">
    <w:abstractNumId w:val="1"/>
  </w:num>
  <w:num w:numId="16" w16cid:durableId="283654147">
    <w:abstractNumId w:val="36"/>
  </w:num>
  <w:num w:numId="17" w16cid:durableId="330110544">
    <w:abstractNumId w:val="32"/>
  </w:num>
  <w:num w:numId="18" w16cid:durableId="797140179">
    <w:abstractNumId w:val="19"/>
  </w:num>
  <w:num w:numId="19" w16cid:durableId="1348478837">
    <w:abstractNumId w:val="13"/>
  </w:num>
  <w:num w:numId="20" w16cid:durableId="1592086893">
    <w:abstractNumId w:val="8"/>
  </w:num>
  <w:num w:numId="21" w16cid:durableId="23291690">
    <w:abstractNumId w:val="27"/>
  </w:num>
  <w:num w:numId="22" w16cid:durableId="2072146092">
    <w:abstractNumId w:val="30"/>
  </w:num>
  <w:num w:numId="23" w16cid:durableId="1116488390">
    <w:abstractNumId w:val="4"/>
  </w:num>
  <w:num w:numId="24" w16cid:durableId="1580211509">
    <w:abstractNumId w:val="14"/>
  </w:num>
  <w:num w:numId="25" w16cid:durableId="1032418505">
    <w:abstractNumId w:val="41"/>
  </w:num>
  <w:num w:numId="26" w16cid:durableId="150875386">
    <w:abstractNumId w:val="11"/>
  </w:num>
  <w:num w:numId="27" w16cid:durableId="1100024998">
    <w:abstractNumId w:val="26"/>
  </w:num>
  <w:num w:numId="28" w16cid:durableId="1626156601">
    <w:abstractNumId w:val="7"/>
  </w:num>
  <w:num w:numId="29" w16cid:durableId="152255733">
    <w:abstractNumId w:val="29"/>
  </w:num>
  <w:num w:numId="30" w16cid:durableId="1331761348">
    <w:abstractNumId w:val="37"/>
  </w:num>
  <w:num w:numId="31" w16cid:durableId="1734230748">
    <w:abstractNumId w:val="34"/>
  </w:num>
  <w:num w:numId="32" w16cid:durableId="639386556">
    <w:abstractNumId w:val="0"/>
  </w:num>
  <w:num w:numId="33" w16cid:durableId="1400596323">
    <w:abstractNumId w:val="22"/>
  </w:num>
  <w:num w:numId="34" w16cid:durableId="226914749">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16cid:durableId="10811040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9426559">
    <w:abstractNumId w:val="28"/>
  </w:num>
  <w:num w:numId="37" w16cid:durableId="963005500">
    <w:abstractNumId w:val="21"/>
  </w:num>
  <w:num w:numId="38" w16cid:durableId="1733625739">
    <w:abstractNumId w:val="34"/>
  </w:num>
  <w:num w:numId="39" w16cid:durableId="157813845">
    <w:abstractNumId w:val="15"/>
  </w:num>
  <w:num w:numId="40" w16cid:durableId="1057434718">
    <w:abstractNumId w:val="34"/>
  </w:num>
  <w:num w:numId="41" w16cid:durableId="1186671637">
    <w:abstractNumId w:val="2"/>
  </w:num>
  <w:num w:numId="42" w16cid:durableId="17087489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125529">
    <w:abstractNumId w:val="31"/>
  </w:num>
  <w:num w:numId="44" w16cid:durableId="177668386">
    <w:abstractNumId w:val="35"/>
  </w:num>
  <w:num w:numId="45" w16cid:durableId="89562579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36EA"/>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2F61FB"/>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382"/>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5D08"/>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4A20"/>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BBB03F"/>
  <w15:docId w15:val="{0804724E-0F53-444E-A219-B02C500E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296f8304-7f63-4501-8ca1-63068ba277e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8CA9C19BC094409188BB7813D94336" ma:contentTypeVersion="16" ma:contentTypeDescription="Create a new document." ma:contentTypeScope="" ma:versionID="3dacccf1a365f596ace1910f3388bfc1">
  <xsd:schema xmlns:xsd="http://www.w3.org/2001/XMLSchema" xmlns:xs="http://www.w3.org/2001/XMLSchema" xmlns:p="http://schemas.microsoft.com/office/2006/metadata/properties" xmlns:ns2="296f8304-7f63-4501-8ca1-63068ba277e1" xmlns:ns3="97b6fe81-1556-4112-94ca-31043ca39b71" xmlns:ns4="cadce026-d35b-4a62-a2ee-1436bb44fb55" targetNamespace="http://schemas.microsoft.com/office/2006/metadata/properties" ma:root="true" ma:fieldsID="ab6233c77684e2f77b976e914f85930a" ns2:_="" ns3:_="" ns4:_="">
    <xsd:import namespace="296f8304-7f63-4501-8ca1-63068ba277e1"/>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8304-7f63-4501-8ca1-63068ba27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customXml/itemProps2.xml><?xml version="1.0" encoding="utf-8"?>
<ds:datastoreItem xmlns:ds="http://schemas.openxmlformats.org/officeDocument/2006/customXml" ds:itemID="{1356D85B-5292-4A73-B3AC-733E4B1FF33F}">
  <ds:schemaRefs>
    <ds:schemaRef ds:uri="http://schemas.microsoft.com/office/2006/metadata/properties"/>
    <ds:schemaRef ds:uri="http://purl.org/dc/elements/1.1/"/>
    <ds:schemaRef ds:uri="cadce026-d35b-4a62-a2ee-1436bb44fb55"/>
    <ds:schemaRef ds:uri="97b6fe81-1556-4112-94ca-31043ca39b71"/>
    <ds:schemaRef ds:uri="http://purl.org/dc/terms/"/>
    <ds:schemaRef ds:uri="296f8304-7f63-4501-8ca1-63068ba277e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F66298F-781C-44FE-9365-06DFA86E2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8304-7f63-4501-8ca1-63068ba277e1"/>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CCDAD-415F-4E29-A296-B8CE3E724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GENERIC%20Workgroup%20Consultation%20template%20</Template>
  <TotalTime>85</TotalTime>
  <Pages>1</Pages>
  <Words>705</Words>
  <Characters>4019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Guidance</dc:creator>
  <cp:keywords/>
  <cp:lastModifiedBy>Roberts(ESO), Ruth</cp:lastModifiedBy>
  <cp:revision>55</cp:revision>
  <cp:lastPrinted>2020-02-06T21:28:00Z</cp:lastPrinted>
  <dcterms:created xsi:type="dcterms:W3CDTF">2020-09-23T15:44:00Z</dcterms:created>
  <dcterms:modified xsi:type="dcterms:W3CDTF">2022-10-21T15:13:00Z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_NewReviewCycle">
    <vt:lpwstr/>
  </property>
  <property fmtid="{D5CDD505-2E9C-101B-9397-08002B2CF9AE}" pid="4" name="MediaServiceImageTags">
    <vt:lpwstr/>
  </property>
</Properties>
</file>