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D645" w14:textId="37CC0217" w:rsidR="008E63D0" w:rsidRDefault="008E63D0" w:rsidP="00CC42F6">
      <w:pPr>
        <w:pStyle w:val="Default"/>
        <w:rPr>
          <w:sz w:val="20"/>
          <w:szCs w:val="20"/>
        </w:rPr>
      </w:pPr>
    </w:p>
    <w:p w14:paraId="70069612" w14:textId="4FE7DD0E" w:rsidR="006A61C0" w:rsidRPr="00BA15D5" w:rsidRDefault="004F5ED4" w:rsidP="000B5B94">
      <w:pPr>
        <w:pStyle w:val="DocumentTitle"/>
        <w:framePr w:wrap="notBeside" w:x="1011" w:y="1561"/>
        <w:rPr>
          <w:sz w:val="36"/>
          <w:szCs w:val="36"/>
        </w:rPr>
      </w:pPr>
      <w:r>
        <w:rPr>
          <w:sz w:val="36"/>
          <w:szCs w:val="36"/>
        </w:rPr>
        <w:t>Settling non-BM Response and Reserve Services at a price that reflects the real-time value of Energy</w:t>
      </w:r>
      <w:r w:rsidR="00930A5D">
        <w:rPr>
          <w:sz w:val="36"/>
          <w:szCs w:val="36"/>
        </w:rPr>
        <w:t xml:space="preserve"> (P412)</w:t>
      </w:r>
    </w:p>
    <w:p w14:paraId="0E382113" w14:textId="133005C5" w:rsidR="00933A73" w:rsidRPr="00933A73" w:rsidRDefault="00933A73" w:rsidP="000B5B94">
      <w:pPr>
        <w:pStyle w:val="DocumentTitle"/>
        <w:framePr w:wrap="notBeside" w:x="1011" w:y="1561"/>
        <w:rPr>
          <w:sz w:val="24"/>
          <w:szCs w:val="24"/>
        </w:rPr>
      </w:pPr>
    </w:p>
    <w:p w14:paraId="06CAB9B9" w14:textId="66638A91" w:rsidR="00CC42F6" w:rsidRDefault="00CC42F6" w:rsidP="00015450">
      <w:pPr>
        <w:pStyle w:val="Default"/>
        <w:jc w:val="both"/>
        <w:rPr>
          <w:sz w:val="20"/>
          <w:szCs w:val="20"/>
        </w:rPr>
      </w:pPr>
      <w:r w:rsidRPr="6D06E5F7">
        <w:rPr>
          <w:sz w:val="20"/>
          <w:szCs w:val="20"/>
        </w:rPr>
        <w:t xml:space="preserve">NGESO invites responses to this </w:t>
      </w:r>
      <w:r w:rsidRPr="00D4487F">
        <w:rPr>
          <w:sz w:val="20"/>
          <w:szCs w:val="20"/>
        </w:rPr>
        <w:t xml:space="preserve">consultation by </w:t>
      </w:r>
      <w:r w:rsidR="00A505B3" w:rsidRPr="00D4487F">
        <w:rPr>
          <w:b/>
          <w:bCs/>
          <w:sz w:val="20"/>
          <w:szCs w:val="20"/>
        </w:rPr>
        <w:t>5pm,</w:t>
      </w:r>
      <w:r w:rsidR="7EE32DE9" w:rsidRPr="00D4487F">
        <w:rPr>
          <w:b/>
          <w:bCs/>
          <w:sz w:val="20"/>
          <w:szCs w:val="20"/>
        </w:rPr>
        <w:t xml:space="preserve"> </w:t>
      </w:r>
      <w:r w:rsidR="60383D00" w:rsidRPr="00D4487F">
        <w:rPr>
          <w:b/>
          <w:bCs/>
          <w:sz w:val="20"/>
          <w:szCs w:val="20"/>
        </w:rPr>
        <w:t>2</w:t>
      </w:r>
      <w:r w:rsidR="008A268E">
        <w:rPr>
          <w:b/>
          <w:bCs/>
          <w:sz w:val="20"/>
          <w:szCs w:val="20"/>
        </w:rPr>
        <w:t>6</w:t>
      </w:r>
      <w:r w:rsidR="60383D00" w:rsidRPr="00D4487F">
        <w:rPr>
          <w:b/>
          <w:bCs/>
          <w:sz w:val="20"/>
          <w:szCs w:val="20"/>
          <w:vertAlign w:val="superscript"/>
        </w:rPr>
        <w:t>th</w:t>
      </w:r>
      <w:r w:rsidR="60383D00" w:rsidRPr="00D4487F">
        <w:rPr>
          <w:b/>
          <w:bCs/>
          <w:sz w:val="20"/>
          <w:szCs w:val="20"/>
        </w:rPr>
        <w:t xml:space="preserve"> November</w:t>
      </w:r>
      <w:r w:rsidR="0089541A" w:rsidRPr="00D4487F">
        <w:rPr>
          <w:b/>
          <w:bCs/>
          <w:sz w:val="20"/>
          <w:szCs w:val="20"/>
        </w:rPr>
        <w:t xml:space="preserve"> </w:t>
      </w:r>
      <w:r w:rsidRPr="00D4487F">
        <w:rPr>
          <w:b/>
          <w:bCs/>
          <w:sz w:val="20"/>
          <w:szCs w:val="20"/>
        </w:rPr>
        <w:t>202</w:t>
      </w:r>
      <w:r w:rsidR="0089541A" w:rsidRPr="00D4487F">
        <w:rPr>
          <w:b/>
          <w:bCs/>
          <w:sz w:val="20"/>
          <w:szCs w:val="20"/>
        </w:rPr>
        <w:t>1</w:t>
      </w:r>
      <w:r w:rsidRPr="00D4487F">
        <w:rPr>
          <w:sz w:val="20"/>
          <w:szCs w:val="20"/>
        </w:rPr>
        <w:t>. The</w:t>
      </w:r>
      <w:r w:rsidRPr="6D06E5F7">
        <w:rPr>
          <w:sz w:val="20"/>
          <w:szCs w:val="20"/>
        </w:rPr>
        <w:t xml:space="preserve"> responses to the specific consultation questions (below) or any other aspect of this consultation can be provided by completing the following form. </w:t>
      </w:r>
      <w:r w:rsidR="007B091A" w:rsidRPr="6D06E5F7">
        <w:rPr>
          <w:sz w:val="20"/>
          <w:szCs w:val="20"/>
        </w:rPr>
        <w:t xml:space="preserve">Please note that responses submitted after this time may not be </w:t>
      </w:r>
      <w:r w:rsidR="00DB4087" w:rsidRPr="6D06E5F7">
        <w:rPr>
          <w:sz w:val="20"/>
          <w:szCs w:val="20"/>
        </w:rPr>
        <w:t>counted</w:t>
      </w:r>
      <w:r w:rsidR="00F02E1C" w:rsidRPr="6D06E5F7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71AC3303" w:rsidR="00CC42F6" w:rsidRDefault="00CC42F6" w:rsidP="26867079">
      <w:pPr>
        <w:pStyle w:val="Default"/>
        <w:rPr>
          <w:b/>
          <w:bCs/>
          <w:sz w:val="20"/>
          <w:szCs w:val="20"/>
        </w:rPr>
      </w:pPr>
      <w:r w:rsidRPr="26867079">
        <w:rPr>
          <w:sz w:val="20"/>
          <w:szCs w:val="20"/>
        </w:rPr>
        <w:t xml:space="preserve">Please complete this form regarding the proposal titled: </w:t>
      </w:r>
      <w:r w:rsidRPr="26867079">
        <w:rPr>
          <w:b/>
          <w:bCs/>
          <w:sz w:val="20"/>
          <w:szCs w:val="20"/>
          <w:lang w:val="en-GB"/>
        </w:rPr>
        <w:t>“</w:t>
      </w:r>
      <w:r w:rsidR="6C2A27AC" w:rsidRPr="26867079">
        <w:rPr>
          <w:b/>
          <w:bCs/>
          <w:sz w:val="20"/>
          <w:szCs w:val="20"/>
          <w:lang w:val="en-GB"/>
        </w:rPr>
        <w:t>Settling non-BM Response and Reserve Services at a price that reflects the real-time value of Energy</w:t>
      </w:r>
      <w:r w:rsidR="00A505B3">
        <w:rPr>
          <w:b/>
          <w:bCs/>
          <w:sz w:val="20"/>
          <w:szCs w:val="20"/>
          <w:lang w:val="en-GB"/>
        </w:rPr>
        <w:t xml:space="preserve"> (P412)</w:t>
      </w:r>
      <w:r w:rsidR="6C2A27AC" w:rsidRPr="26867079">
        <w:rPr>
          <w:b/>
          <w:bCs/>
          <w:sz w:val="20"/>
          <w:szCs w:val="20"/>
          <w:lang w:val="en-GB"/>
        </w:rPr>
        <w:t>”</w:t>
      </w:r>
      <w:r w:rsidRPr="26867079">
        <w:rPr>
          <w:b/>
          <w:bCs/>
          <w:sz w:val="20"/>
          <w:szCs w:val="20"/>
          <w:lang w:val="en-GB"/>
        </w:rPr>
        <w:t xml:space="preserve">. </w:t>
      </w:r>
    </w:p>
    <w:p w14:paraId="7F635C0C" w14:textId="77777777" w:rsidR="00657D12" w:rsidRPr="006E6EB7" w:rsidRDefault="00657D12" w:rsidP="00CC42F6">
      <w:pPr>
        <w:pStyle w:val="Default"/>
        <w:rPr>
          <w:b/>
          <w:bCs/>
          <w:sz w:val="20"/>
          <w:szCs w:val="20"/>
        </w:rPr>
      </w:pPr>
    </w:p>
    <w:p w14:paraId="699EA925" w14:textId="692C3FB4" w:rsidR="005F079A" w:rsidRDefault="07C318BF" w:rsidP="6EC54F40">
      <w:pPr>
        <w:pStyle w:val="BodyText"/>
        <w:rPr>
          <w:rFonts w:ascii="Arial" w:eastAsiaTheme="minorEastAsia" w:hAnsi="Arial" w:cs="Arial"/>
          <w:color w:val="000000"/>
          <w:lang w:val="en-US"/>
        </w:rPr>
      </w:pPr>
      <w:r w:rsidRPr="6EC54F40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3BD2736E" w:rsidRPr="6EC54F40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6EC54F40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7154D6D5" w:rsidRPr="6EC54F40">
        <w:rPr>
          <w:rFonts w:ascii="Arial" w:eastAsiaTheme="minorEastAsia" w:hAnsi="Arial" w:cs="Arial"/>
          <w:color w:val="000000"/>
          <w:lang w:val="en-US"/>
        </w:rPr>
        <w:t>:</w:t>
      </w:r>
      <w:r w:rsidRPr="6EC54F40">
        <w:rPr>
          <w:rFonts w:ascii="Arial" w:eastAsiaTheme="minorEastAsia" w:hAnsi="Arial" w:cs="Arial"/>
          <w:color w:val="000000"/>
          <w:lang w:val="en-US"/>
        </w:rPr>
        <w:t xml:space="preserve"> </w:t>
      </w:r>
      <w:r w:rsidR="6A0562BC" w:rsidRPr="6EC54F40">
        <w:rPr>
          <w:rFonts w:ascii="Arial" w:eastAsiaTheme="minorEastAsia" w:hAnsi="Arial" w:cs="Arial"/>
          <w:color w:val="FFC000"/>
          <w:u w:val="single"/>
          <w:lang w:val="en-US"/>
        </w:rPr>
        <w:t>box.europeancodes.electricity@nationalgrideso.com</w:t>
      </w:r>
      <w:r w:rsidR="7E373D81" w:rsidRPr="6EC54F40">
        <w:rPr>
          <w:rFonts w:ascii="Arial" w:eastAsiaTheme="minorEastAsia" w:hAnsi="Arial" w:cs="Arial"/>
          <w:color w:val="000000"/>
          <w:lang w:val="en-US"/>
        </w:rPr>
        <w:t>.</w:t>
      </w:r>
    </w:p>
    <w:p w14:paraId="3DDAEA30" w14:textId="0F178827" w:rsidR="00936130" w:rsidRPr="00936130" w:rsidRDefault="211CB3C1" w:rsidP="009E3743">
      <w:pPr>
        <w:spacing w:after="0" w:line="300" w:lineRule="atLeast"/>
        <w:rPr>
          <w:rFonts w:ascii="Arial" w:eastAsia="Times New Roman" w:hAnsi="Arial" w:cs="Arial"/>
          <w:color w:val="auto"/>
          <w:lang w:eastAsia="en-GB"/>
        </w:rPr>
      </w:pPr>
      <w:r w:rsidRPr="6EC54F40">
        <w:rPr>
          <w:rFonts w:ascii="Arial" w:eastAsia="Times New Roman" w:hAnsi="Arial" w:cs="Arial"/>
          <w:color w:val="auto"/>
          <w:lang w:eastAsia="en-GB"/>
        </w:rPr>
        <w:t xml:space="preserve">If you have any queries on the content of this consultation, please contact </w:t>
      </w:r>
      <w:r w:rsidR="1248AD54" w:rsidRPr="6EC54F40">
        <w:rPr>
          <w:rFonts w:ascii="Arial" w:eastAsia="Times New Roman" w:hAnsi="Arial" w:cs="Arial"/>
          <w:color w:val="FFC000"/>
          <w:u w:val="single"/>
          <w:lang w:eastAsia="en-GB"/>
        </w:rPr>
        <w:t>box.europeancodes.electricity@nationalgrideso.com</w:t>
      </w:r>
      <w:r w:rsidR="1248AD54" w:rsidRPr="6EC54F40">
        <w:rPr>
          <w:rFonts w:ascii="Arial" w:eastAsia="Times New Roman" w:hAnsi="Arial" w:cs="Arial"/>
          <w:color w:val="auto"/>
          <w:lang w:eastAsia="en-GB"/>
        </w:rPr>
        <w:t>.</w:t>
      </w:r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167BEF" w:rsidRPr="00167BEF" w14:paraId="2571F32A" w14:textId="77777777" w:rsidTr="00BB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FFFFFF" w:themeColor="background1"/>
            </w:tcBorders>
          </w:tcPr>
          <w:p w14:paraId="55A573FA" w14:textId="1F47E97F" w:rsidR="00903EC6" w:rsidRPr="00951B81" w:rsidRDefault="00793C24" w:rsidP="00044829">
            <w:pPr>
              <w:pStyle w:val="Introtext"/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</w:pPr>
            <w:r w:rsidRPr="00951B81"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951B81"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  <w:t>Respondent</w:t>
            </w:r>
            <w:r w:rsidR="000B6DCC" w:rsidRPr="00951B81"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  <w:t xml:space="preserve"> Name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BB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8A4A3B" w14:textId="6D4870C2" w:rsidR="00903EC6" w:rsidRPr="00951B81" w:rsidRDefault="00793C24" w:rsidP="00044829">
            <w:pPr>
              <w:pStyle w:val="Introtext"/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</w:pPr>
            <w:r w:rsidRPr="00951B81"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951B81">
              <w:rPr>
                <w:rFonts w:asciiTheme="minorHAnsi" w:hAnsiTheme="minorHAnsi" w:cstheme="minorHAnsi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063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BB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67BEF" w:rsidRPr="00951B81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951B81" w:rsidRDefault="008C004E" w:rsidP="008C004E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951B81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951B81" w:rsidRDefault="00903EC6" w:rsidP="00044829">
            <w:pPr>
              <w:pStyle w:val="Introtex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063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B27B45" w:rsidRPr="00167BEF" w14:paraId="2CDF3604" w14:textId="77777777" w:rsidTr="00BB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802941B" w14:textId="6A03789A" w:rsidR="00B27B45" w:rsidRPr="00951B81" w:rsidRDefault="000826AE" w:rsidP="00B27B4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</w:pPr>
            <w:r w:rsidRPr="00951B8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  <w:t xml:space="preserve">  </w:t>
            </w:r>
            <w:r w:rsidR="00B27B45" w:rsidRPr="00951B8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  <w:t>Email address</w:t>
            </w:r>
          </w:p>
        </w:tc>
        <w:tc>
          <w:tcPr>
            <w:tcW w:w="5063" w:type="dxa"/>
          </w:tcPr>
          <w:p w14:paraId="05F897AB" w14:textId="77777777" w:rsidR="00B27B45" w:rsidRPr="00167BEF" w:rsidRDefault="00B27B45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B27B45" w:rsidRPr="00167BEF" w14:paraId="1FFCF551" w14:textId="77777777" w:rsidTr="00BB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6ADEAD" w14:textId="22368C88" w:rsidR="00B27B45" w:rsidRPr="00951B81" w:rsidRDefault="000826AE" w:rsidP="008C004E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</w:pPr>
            <w:r w:rsidRPr="00951B8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  <w:t xml:space="preserve">  </w:t>
            </w:r>
            <w:r w:rsidR="00B27B45" w:rsidRPr="00951B8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en-GB" w:eastAsia="en-NZ"/>
              </w:rPr>
              <w:t>Phone number</w:t>
            </w:r>
          </w:p>
        </w:tc>
        <w:tc>
          <w:tcPr>
            <w:tcW w:w="5063" w:type="dxa"/>
          </w:tcPr>
          <w:p w14:paraId="04ED55B0" w14:textId="77777777" w:rsidR="00B27B45" w:rsidRPr="00167BEF" w:rsidRDefault="00B27B45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167BEF" w:rsidRPr="00167BEF" w14:paraId="0CDDF991" w14:textId="77777777" w:rsidTr="6D06E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951B81" w:rsidRDefault="00FF6081" w:rsidP="00044829">
            <w:pPr>
              <w:pStyle w:val="Introtext"/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</w:pPr>
            <w:r w:rsidRPr="00951B81"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951B81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</w:pPr>
            <w:r w:rsidRPr="00951B81"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310988" w:rsidRPr="00167BEF" w14:paraId="4CDF6B4B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1577641" w14:textId="29651300" w:rsidR="00310988" w:rsidRPr="00951B81" w:rsidRDefault="00310988" w:rsidP="003532B2">
            <w:pPr>
              <w:pStyle w:val="Introtext"/>
              <w:jc w:val="center"/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1</w:t>
            </w:r>
            <w:r>
              <w:rPr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3360711C" w14:textId="39E8E53E" w:rsidR="00310988" w:rsidRPr="00E857ED" w:rsidRDefault="3B26318C" w:rsidP="6EC54F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auto"/>
                <w:lang w:val="en-US"/>
              </w:rPr>
            </w:pPr>
            <w:r w:rsidRPr="6D06E5F7">
              <w:rPr>
                <w:b/>
                <w:bCs/>
                <w:color w:val="auto"/>
              </w:rPr>
              <w:t xml:space="preserve">Do you agree with </w:t>
            </w:r>
            <w:r w:rsidR="3AF743E0" w:rsidRPr="6D06E5F7">
              <w:rPr>
                <w:b/>
                <w:bCs/>
                <w:color w:val="auto"/>
              </w:rPr>
              <w:t>NG</w:t>
            </w:r>
            <w:r w:rsidRPr="6D06E5F7">
              <w:rPr>
                <w:b/>
                <w:bCs/>
                <w:color w:val="auto"/>
              </w:rPr>
              <w:t>ESO’s assessment of the issue and the services impacted? Please provide the rationale for your answer.</w:t>
            </w:r>
          </w:p>
        </w:tc>
        <w:tc>
          <w:tcPr>
            <w:tcW w:w="5103" w:type="dxa"/>
          </w:tcPr>
          <w:p w14:paraId="15DFFC51" w14:textId="77777777" w:rsidR="00310988" w:rsidRPr="00167BEF" w:rsidRDefault="00310988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2C1AA985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51B624C" w:rsidR="00FF6081" w:rsidRPr="00951B81" w:rsidRDefault="004D10F1" w:rsidP="003532B2">
            <w:pPr>
              <w:pStyle w:val="Introtext"/>
              <w:jc w:val="center"/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2</w:t>
            </w:r>
            <w:r w:rsidR="00FF6081" w:rsidRPr="00951B81"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84C06BB" w14:textId="01468C9F" w:rsidR="00FF6081" w:rsidRPr="00E857ED" w:rsidRDefault="4A641EFA" w:rsidP="6D06E5F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What impacts to your organisation and/or wider industry (qualitative and quantitative) are associated with the progression of Option A? Please explain your rational if possible.</w:t>
            </w: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23DCC810" w:rsidR="7CE8ECF2" w:rsidRPr="00951B81" w:rsidRDefault="004D10F1" w:rsidP="7CE8ECF2">
            <w:pPr>
              <w:pStyle w:val="Introtext"/>
              <w:jc w:val="center"/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3</w:t>
            </w:r>
            <w:r w:rsidR="003178CF" w:rsidRPr="00951B81">
              <w:rPr>
                <w:rFonts w:asciiTheme="minorHAnsi" w:hAnsiTheme="minorHAnsi" w:cstheme="minorHAnsi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6DBB527" w14:textId="0519CD85" w:rsidR="7CE8ECF2" w:rsidRPr="00E857ED" w:rsidRDefault="00AA3D7E" w:rsidP="7686D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color w:val="auto"/>
                <w:lang w:val="en-US"/>
              </w:rPr>
            </w:pPr>
            <w:r w:rsidRPr="00E857ED">
              <w:rPr>
                <w:b/>
                <w:bCs/>
                <w:color w:val="auto"/>
              </w:rPr>
              <w:t>What potential opportunities are missed and what potential risks avoided with Option A?</w:t>
            </w: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F75B1" w14:paraId="62E8B3C2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9E07E70" w14:textId="367E3D8E" w:rsidR="001F75B1" w:rsidRDefault="4434C473" w:rsidP="6D06E5F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6D06E5F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4</w:t>
            </w:r>
            <w:r w:rsidR="1A363D33" w:rsidRPr="6D06E5F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45F689A" w14:textId="1CA4B9C1" w:rsidR="001F75B1" w:rsidRPr="00E857ED" w:rsidRDefault="0A25483C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What impacts to your organisation and/or wider industry (qualitative and quantitative) are associated with the progression of Option B? Please explain your rational if possible.</w:t>
            </w:r>
          </w:p>
        </w:tc>
        <w:tc>
          <w:tcPr>
            <w:tcW w:w="5103" w:type="dxa"/>
          </w:tcPr>
          <w:p w14:paraId="7B3CB495" w14:textId="77777777" w:rsidR="001F75B1" w:rsidRDefault="001F75B1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DD0B71" w14:paraId="5F596EEB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7B871F4" w14:textId="0608EF5A" w:rsidR="00DD0B71" w:rsidRDefault="004D10F1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5</w:t>
            </w:r>
            <w:r w:rsidR="00DD0B7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9F87D53" w14:textId="3EB1021E" w:rsidR="00DD0B71" w:rsidRPr="00E857ED" w:rsidRDefault="00F17F58" w:rsidP="0D8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E857ED">
              <w:rPr>
                <w:b/>
                <w:bCs/>
                <w:color w:val="auto"/>
              </w:rPr>
              <w:t>What other potential opportunities or potential risks does Option B present?</w:t>
            </w:r>
          </w:p>
        </w:tc>
        <w:tc>
          <w:tcPr>
            <w:tcW w:w="5103" w:type="dxa"/>
          </w:tcPr>
          <w:p w14:paraId="3CECB145" w14:textId="77777777" w:rsidR="00DD0B71" w:rsidRDefault="00DD0B71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DD0B71" w14:paraId="63B6F72F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8BAF484" w14:textId="133644C6" w:rsidR="00DD0B71" w:rsidRDefault="00385DC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6</w:t>
            </w:r>
            <w:r w:rsidR="00DD0B7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7432B1F" w14:textId="1761D19E" w:rsidR="00DD0B71" w:rsidRPr="00E857ED" w:rsidRDefault="7BED3B48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 xml:space="preserve">What impacts to your organisation and/or wider industry (qualitative and quantitative) are associated with the progression of Option C? </w:t>
            </w: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lastRenderedPageBreak/>
              <w:t>Please explain your rational if possible.</w:t>
            </w:r>
          </w:p>
        </w:tc>
        <w:tc>
          <w:tcPr>
            <w:tcW w:w="5103" w:type="dxa"/>
          </w:tcPr>
          <w:p w14:paraId="36D9FC75" w14:textId="77777777" w:rsidR="00DD0B71" w:rsidRDefault="00DD0B71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DD0B71" w14:paraId="3EB94263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00755D8" w14:textId="243F5BE8" w:rsidR="00DD0B71" w:rsidRDefault="00385DCD" w:rsidP="0D8958D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7</w:t>
            </w:r>
            <w:r w:rsidR="419A5CAB" w:rsidRPr="0D8958D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4751B08" w14:textId="3A7B27D6" w:rsidR="00DD0B71" w:rsidRPr="00E857ED" w:rsidRDefault="001343C1" w:rsidP="0013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E857ED">
              <w:rPr>
                <w:b/>
                <w:bCs/>
                <w:color w:val="auto"/>
              </w:rPr>
              <w:t xml:space="preserve">What other potential opportunities or potential risks does Option C present? </w:t>
            </w:r>
          </w:p>
        </w:tc>
        <w:tc>
          <w:tcPr>
            <w:tcW w:w="5103" w:type="dxa"/>
          </w:tcPr>
          <w:p w14:paraId="3B9ADA66" w14:textId="2EA0AF62" w:rsidR="00DD0B71" w:rsidRDefault="00A9660A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>
              <w:rPr>
                <w:rStyle w:val="HighlightAccent4"/>
                <w:color w:val="auto"/>
              </w:rPr>
              <w:t xml:space="preserve"> </w:t>
            </w:r>
          </w:p>
        </w:tc>
      </w:tr>
      <w:tr w:rsidR="002474E2" w14:paraId="6644A34E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C75EAFF" w14:textId="27E85BB3" w:rsidR="002474E2" w:rsidRDefault="00CD14A4" w:rsidP="0D8958D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8</w:t>
            </w:r>
            <w:r w:rsidR="3F77EE4B" w:rsidRPr="0D8958D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2C53C71" w14:textId="38C33243" w:rsidR="002474E2" w:rsidRPr="00E857ED" w:rsidRDefault="6DF0E4C1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What impacts to your organisation and/or wider industry (qualitative and quantitative) are associated with the progression of Option D? Please explain your rational if possible.</w:t>
            </w:r>
          </w:p>
        </w:tc>
        <w:tc>
          <w:tcPr>
            <w:tcW w:w="5103" w:type="dxa"/>
          </w:tcPr>
          <w:p w14:paraId="63AC5BA5" w14:textId="77777777" w:rsidR="002474E2" w:rsidRDefault="002474E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477FDA" w14:paraId="737D45CA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30A03A5" w14:textId="1D48D8AA" w:rsidR="00477FDA" w:rsidRPr="0D8958D7" w:rsidRDefault="00CD14A4" w:rsidP="0D8958D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lang w:eastAsia="en-NZ"/>
              </w:rPr>
              <w:t>9</w:t>
            </w:r>
            <w:r w:rsidR="00E4026F">
              <w:rPr>
                <w:rFonts w:ascii="Helvetica Neue LT Pro 45 Light" w:hAnsi="Helvetica Neue LT Pro 45 Light"/>
                <w:color w:val="auto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23AA2C3" w14:textId="3C9A0E74" w:rsidR="00477FDA" w:rsidRPr="00E857ED" w:rsidRDefault="00325809" w:rsidP="00144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E857ED">
              <w:rPr>
                <w:b/>
                <w:bCs/>
                <w:color w:val="auto"/>
              </w:rPr>
              <w:t xml:space="preserve">What other potential opportunities or potential risks does Option D present? </w:t>
            </w:r>
          </w:p>
        </w:tc>
        <w:tc>
          <w:tcPr>
            <w:tcW w:w="5103" w:type="dxa"/>
          </w:tcPr>
          <w:p w14:paraId="2E8305AB" w14:textId="77777777" w:rsidR="00477FDA" w:rsidRDefault="00477FDA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D8958D7" w14:paraId="3D628D6E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FBB9EB" w14:textId="51B87260" w:rsidR="396A146E" w:rsidRDefault="00B85DD3" w:rsidP="0D8958D7">
            <w:pPr>
              <w:pStyle w:val="Introtext"/>
              <w:spacing w:after="120" w:line="259" w:lineRule="auto"/>
              <w:jc w:val="center"/>
              <w:rPr>
                <w:rFonts w:eastAsia="Arial" w:cs="Arial"/>
                <w:color w:val="auto"/>
                <w:szCs w:val="24"/>
                <w:lang w:eastAsia="en-NZ"/>
              </w:rPr>
            </w:pPr>
            <w:r>
              <w:rPr>
                <w:rFonts w:eastAsia="Arial" w:cs="Arial"/>
                <w:color w:val="auto"/>
                <w:sz w:val="20"/>
                <w:lang w:eastAsia="en-NZ"/>
              </w:rPr>
              <w:t>10</w:t>
            </w:r>
            <w:r w:rsidR="396A146E" w:rsidRPr="0D8958D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B04C01B" w14:textId="4CF643E4" w:rsidR="0E52A7B2" w:rsidRPr="00E857ED" w:rsidRDefault="00050C64" w:rsidP="0D8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E857ED">
              <w:rPr>
                <w:b/>
                <w:bCs/>
                <w:color w:val="auto"/>
              </w:rPr>
              <w:t>Do you agree with the P412 workgroup’s view that this strategy (creating a new role within the BSC) in isolation, would not be a practical or beneficial solution?</w:t>
            </w:r>
          </w:p>
        </w:tc>
        <w:tc>
          <w:tcPr>
            <w:tcW w:w="5103" w:type="dxa"/>
          </w:tcPr>
          <w:p w14:paraId="1CA0AFDE" w14:textId="064544DF" w:rsidR="0D8958D7" w:rsidRDefault="0D8958D7" w:rsidP="0D8958D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eastAsia="Arial" w:cs="Arial"/>
                <w:color w:val="FFBF22" w:themeColor="accent6"/>
                <w:szCs w:val="24"/>
              </w:rPr>
            </w:pPr>
          </w:p>
        </w:tc>
      </w:tr>
      <w:tr w:rsidR="0D8958D7" w14:paraId="3E2081E2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2BCF3F6" w14:textId="612B5F7C" w:rsidR="4209DEAB" w:rsidRDefault="567A9E57" w:rsidP="6D06E5F7">
            <w:pPr>
              <w:pStyle w:val="Introtext"/>
              <w:spacing w:after="120" w:line="259" w:lineRule="auto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71C205E4"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1212A0D5"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  <w:p w14:paraId="01D82C24" w14:textId="784385DD" w:rsidR="0D8958D7" w:rsidRDefault="0D8958D7" w:rsidP="6D06E5F7">
            <w:pPr>
              <w:pStyle w:val="Introtext"/>
              <w:jc w:val="center"/>
              <w:rPr>
                <w:rFonts w:eastAsia="Arial" w:cs="Arial"/>
                <w:color w:val="FFBF22" w:themeColor="accent6"/>
                <w:lang w:eastAsia="en-NZ"/>
              </w:rPr>
            </w:pPr>
          </w:p>
        </w:tc>
        <w:tc>
          <w:tcPr>
            <w:tcW w:w="3544" w:type="dxa"/>
            <w:shd w:val="clear" w:color="auto" w:fill="FFD87A" w:themeFill="accent6" w:themeFillTint="99"/>
          </w:tcPr>
          <w:p w14:paraId="6F847EF0" w14:textId="02D45117" w:rsidR="0E52A7B2" w:rsidRPr="00E857ED" w:rsidRDefault="675674FA" w:rsidP="6D06E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support harmonising how BM and non-BM Balancing Service Providers are treated within the BSC?</w:t>
            </w:r>
          </w:p>
        </w:tc>
        <w:tc>
          <w:tcPr>
            <w:tcW w:w="5103" w:type="dxa"/>
          </w:tcPr>
          <w:p w14:paraId="0DD7630B" w14:textId="5A9B4243" w:rsidR="0D8958D7" w:rsidRDefault="0D8958D7" w:rsidP="6D06E5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0D8958D7" w14:paraId="2FA79320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525F18E" w14:textId="566B2618" w:rsidR="017E5281" w:rsidRDefault="51A618FB" w:rsidP="6D06E5F7">
            <w:pPr>
              <w:pStyle w:val="Introtext"/>
              <w:spacing w:after="120" w:line="259" w:lineRule="auto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71C205E4" w:rsidRPr="6D06E5F7">
              <w:rPr>
                <w:rFonts w:eastAsia="Arial" w:cs="Arial"/>
                <w:color w:val="auto"/>
                <w:sz w:val="20"/>
                <w:lang w:eastAsia="en-NZ"/>
              </w:rPr>
              <w:t>2</w:t>
            </w: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  <w:p w14:paraId="48D90FE0" w14:textId="3FC06BD9" w:rsidR="0D8958D7" w:rsidRDefault="0D8958D7" w:rsidP="6D06E5F7">
            <w:pPr>
              <w:pStyle w:val="Introtext"/>
              <w:jc w:val="center"/>
              <w:rPr>
                <w:rFonts w:eastAsia="Arial" w:cs="Arial"/>
                <w:color w:val="FFBF22" w:themeColor="accent6"/>
                <w:lang w:eastAsia="en-NZ"/>
              </w:rPr>
            </w:pPr>
          </w:p>
        </w:tc>
        <w:tc>
          <w:tcPr>
            <w:tcW w:w="3544" w:type="dxa"/>
            <w:shd w:val="clear" w:color="auto" w:fill="FFD87A" w:themeFill="accent6" w:themeFillTint="99"/>
          </w:tcPr>
          <w:p w14:paraId="23A7932A" w14:textId="3023A46B" w:rsidR="08DF0C1A" w:rsidRPr="00E857ED" w:rsidRDefault="165FB293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agree with the working group view, that achieving this would have a significant impact on the current BSC arrangements? Please identify what aspects you believe are impacted and should be considered as part of this work.</w:t>
            </w:r>
          </w:p>
        </w:tc>
        <w:tc>
          <w:tcPr>
            <w:tcW w:w="5103" w:type="dxa"/>
          </w:tcPr>
          <w:p w14:paraId="1100DDEC" w14:textId="5410259C" w:rsidR="0D8958D7" w:rsidRDefault="0D8958D7" w:rsidP="6D06E5F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26867079" w14:paraId="20FCC3CB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4AA6784" w14:textId="070FE19F" w:rsidR="26867079" w:rsidRPr="000131BC" w:rsidRDefault="2BE81BFC" w:rsidP="6D06E5F7">
            <w:pPr>
              <w:pStyle w:val="Introtext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1FA94B71" w:rsidRPr="6D06E5F7">
              <w:rPr>
                <w:rFonts w:eastAsia="Arial" w:cs="Arial"/>
                <w:color w:val="auto"/>
                <w:sz w:val="20"/>
                <w:lang w:eastAsia="en-NZ"/>
              </w:rPr>
              <w:t>3</w:t>
            </w:r>
            <w:r w:rsidR="2C80BDF7"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37769E53" w14:textId="3273EF12" w:rsidR="2107B116" w:rsidRPr="00E857ED" w:rsidRDefault="7C9AB7E9" w:rsidP="6D06E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Are you aware of (</w:t>
            </w:r>
            <w:proofErr w:type="spellStart"/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i</w:t>
            </w:r>
            <w:proofErr w:type="spellEnd"/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) any other options that should be considered or (ii) additional comments to make on the options and strategies listed in this consultation?</w:t>
            </w:r>
          </w:p>
        </w:tc>
        <w:tc>
          <w:tcPr>
            <w:tcW w:w="5103" w:type="dxa"/>
          </w:tcPr>
          <w:p w14:paraId="5AE080A1" w14:textId="01CE1D57" w:rsidR="26867079" w:rsidRDefault="26867079" w:rsidP="6D06E5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26867079" w14:paraId="4FAEA846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F59E69B" w14:textId="0977CD20" w:rsidR="26867079" w:rsidRPr="000131BC" w:rsidRDefault="2BE81BFC" w:rsidP="6D06E5F7">
            <w:pPr>
              <w:pStyle w:val="Introtext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1FA94B71" w:rsidRPr="6D06E5F7">
              <w:rPr>
                <w:rFonts w:eastAsia="Arial" w:cs="Arial"/>
                <w:color w:val="auto"/>
                <w:sz w:val="20"/>
                <w:lang w:eastAsia="en-NZ"/>
              </w:rPr>
              <w:t>4</w:t>
            </w: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392BF43B" w14:textId="2BA3C57F" w:rsidR="4DFE3923" w:rsidRPr="00E857ED" w:rsidRDefault="1A0EECFF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believe this analysis fairly reflects the performance of non-BM Balancing Service providers and accurately calculates the value of undelivered non-BM Balancing Services?</w:t>
            </w:r>
          </w:p>
        </w:tc>
        <w:tc>
          <w:tcPr>
            <w:tcW w:w="5103" w:type="dxa"/>
          </w:tcPr>
          <w:p w14:paraId="66C38826" w14:textId="50B70623" w:rsidR="26867079" w:rsidRDefault="26867079" w:rsidP="6D06E5F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0082042E" w14:paraId="747DE6BF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C31E7D9" w14:textId="76623362" w:rsidR="0082042E" w:rsidRPr="000131BC" w:rsidRDefault="134C6368" w:rsidP="6D06E5F7">
            <w:pPr>
              <w:pStyle w:val="Introtext"/>
              <w:jc w:val="center"/>
              <w:rPr>
                <w:rFonts w:eastAsia="Arial" w:cs="Arial"/>
                <w:color w:val="auto"/>
                <w:sz w:val="20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15.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3198470D" w14:textId="67877D75" w:rsidR="0082042E" w:rsidRPr="00E857ED" w:rsidRDefault="547478D0" w:rsidP="6D06E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agree with this analysis? How would you suggest improving this analysis?</w:t>
            </w:r>
          </w:p>
        </w:tc>
        <w:tc>
          <w:tcPr>
            <w:tcW w:w="5103" w:type="dxa"/>
          </w:tcPr>
          <w:p w14:paraId="39EA81AF" w14:textId="77777777" w:rsidR="0082042E" w:rsidRDefault="0082042E" w:rsidP="6D06E5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0082042E" w14:paraId="441A10AD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F6E6366" w14:textId="3FB685EA" w:rsidR="0082042E" w:rsidRPr="000131BC" w:rsidRDefault="134C6368" w:rsidP="6D06E5F7">
            <w:pPr>
              <w:pStyle w:val="Introtext"/>
              <w:jc w:val="center"/>
              <w:rPr>
                <w:rFonts w:eastAsia="Arial" w:cs="Arial"/>
                <w:color w:val="auto"/>
                <w:sz w:val="20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16.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78E82FB2" w14:textId="58B11C1D" w:rsidR="0082042E" w:rsidRPr="00E857ED" w:rsidRDefault="3881FF73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believe changing the approach to non-delivery (for example, from Method B to Method A) would result in any noticeable differences in other industry prices (e.g. balancing service prices or wholesale prices)?</w:t>
            </w:r>
          </w:p>
        </w:tc>
        <w:tc>
          <w:tcPr>
            <w:tcW w:w="5103" w:type="dxa"/>
          </w:tcPr>
          <w:p w14:paraId="7E7AB260" w14:textId="77777777" w:rsidR="0082042E" w:rsidRDefault="0082042E" w:rsidP="6D06E5F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26867079" w14:paraId="5E3CDE69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6ED5BF1" w14:textId="6A1FE267" w:rsidR="26867079" w:rsidRPr="000131BC" w:rsidRDefault="134C6368" w:rsidP="6D06E5F7">
            <w:pPr>
              <w:pStyle w:val="Introtext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17</w:t>
            </w:r>
            <w:r w:rsidR="2BE81BFC"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3AA004A0" w14:textId="432D06B7" w:rsidR="7F615531" w:rsidRPr="00E857ED" w:rsidRDefault="488B698C" w:rsidP="6D06E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 xml:space="preserve">Do you believe changing the approach to non-delivery (for example, from Method B to Method A) would result in any changes in behaviour resulting in </w:t>
            </w: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lastRenderedPageBreak/>
              <w:t>more or less non-delivery of balancing services?</w:t>
            </w:r>
          </w:p>
        </w:tc>
        <w:tc>
          <w:tcPr>
            <w:tcW w:w="5103" w:type="dxa"/>
          </w:tcPr>
          <w:p w14:paraId="07E2EBD0" w14:textId="628506DC" w:rsidR="26867079" w:rsidRDefault="26867079" w:rsidP="6D06E5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26867079" w14:paraId="639E9F67" w14:textId="77777777" w:rsidTr="6D06E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4E96852" w14:textId="26D875D1" w:rsidR="26867079" w:rsidRDefault="2BE81BFC" w:rsidP="6D06E5F7">
            <w:pPr>
              <w:pStyle w:val="Introtext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134C6368" w:rsidRPr="6D06E5F7">
              <w:rPr>
                <w:rFonts w:eastAsia="Arial" w:cs="Arial"/>
                <w:color w:val="auto"/>
                <w:sz w:val="20"/>
                <w:lang w:eastAsia="en-NZ"/>
              </w:rPr>
              <w:t>8</w:t>
            </w: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C72D344" w14:textId="1972C762" w:rsidR="26867079" w:rsidRPr="00E857ED" w:rsidRDefault="11F354E4" w:rsidP="6D06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agree that P412 will have no impact upon Imbalance Prices and so no changes to the methodology are required?</w:t>
            </w:r>
          </w:p>
        </w:tc>
        <w:tc>
          <w:tcPr>
            <w:tcW w:w="5103" w:type="dxa"/>
          </w:tcPr>
          <w:p w14:paraId="2FEA4408" w14:textId="16E5A299" w:rsidR="26867079" w:rsidRDefault="26867079" w:rsidP="6D06E5F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FFBF22" w:themeColor="accent6"/>
              </w:rPr>
            </w:pPr>
          </w:p>
        </w:tc>
      </w:tr>
      <w:tr w:rsidR="6D06E5F7" w14:paraId="175D4A17" w14:textId="77777777" w:rsidTr="6D06E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82481A0" w14:textId="401AF966" w:rsidR="6D06E5F7" w:rsidRDefault="6D06E5F7" w:rsidP="6D06E5F7">
            <w:pPr>
              <w:pStyle w:val="Introtext"/>
              <w:jc w:val="center"/>
              <w:rPr>
                <w:rFonts w:eastAsia="Arial" w:cs="Arial"/>
                <w:color w:val="auto"/>
                <w:lang w:eastAsia="en-NZ"/>
              </w:rPr>
            </w:pP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1</w:t>
            </w:r>
            <w:r w:rsidR="77298177" w:rsidRPr="6D06E5F7">
              <w:rPr>
                <w:rFonts w:eastAsia="Arial" w:cs="Arial"/>
                <w:color w:val="auto"/>
                <w:sz w:val="20"/>
                <w:lang w:eastAsia="en-NZ"/>
              </w:rPr>
              <w:t>9</w:t>
            </w:r>
            <w:r w:rsidRPr="6D06E5F7">
              <w:rPr>
                <w:rFonts w:eastAsia="Arial" w:cs="Arial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DC4BE03" w14:textId="3EDBD1BC" w:rsidR="439537FA" w:rsidRDefault="439537FA" w:rsidP="6D06E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D06E5F7">
              <w:rPr>
                <w:rFonts w:ascii="Arial" w:eastAsia="Arial" w:hAnsi="Arial" w:cs="Arial"/>
                <w:b/>
                <w:bCs/>
                <w:color w:val="auto"/>
              </w:rPr>
              <w:t>Do you agree that P412 does not fundamentally change the risk profile associated with providing Balancing Services to NGESO?</w:t>
            </w:r>
          </w:p>
        </w:tc>
        <w:tc>
          <w:tcPr>
            <w:tcW w:w="5103" w:type="dxa"/>
          </w:tcPr>
          <w:p w14:paraId="73E043A3" w14:textId="16E5A299" w:rsidR="6D06E5F7" w:rsidRDefault="6D06E5F7" w:rsidP="6D06E5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eastAsia="Arial" w:cs="Arial"/>
                <w:b/>
                <w:bCs/>
                <w:color w:val="auto"/>
              </w:rPr>
            </w:pPr>
          </w:p>
        </w:tc>
      </w:tr>
    </w:tbl>
    <w:p w14:paraId="39E07FAC" w14:textId="77777777" w:rsidR="00937AD4" w:rsidRDefault="00937AD4" w:rsidP="6D06E5F7">
      <w:pPr>
        <w:rPr>
          <w:b/>
          <w:bCs/>
          <w:color w:val="auto"/>
        </w:rPr>
      </w:pPr>
    </w:p>
    <w:sectPr w:rsidR="00937AD4" w:rsidSect="00114B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E67F" w14:textId="77777777" w:rsidR="007B255A" w:rsidRDefault="007B255A" w:rsidP="00A62BFF">
      <w:pPr>
        <w:spacing w:after="0"/>
      </w:pPr>
      <w:r>
        <w:separator/>
      </w:r>
    </w:p>
  </w:endnote>
  <w:endnote w:type="continuationSeparator" w:id="0">
    <w:p w14:paraId="0E8716D7" w14:textId="77777777" w:rsidR="007B255A" w:rsidRDefault="007B255A" w:rsidP="00A62BFF">
      <w:pPr>
        <w:spacing w:after="0"/>
      </w:pPr>
      <w:r>
        <w:continuationSeparator/>
      </w:r>
    </w:p>
  </w:endnote>
  <w:endnote w:type="continuationNotice" w:id="1">
    <w:p w14:paraId="335702C9" w14:textId="77777777" w:rsidR="007B255A" w:rsidRDefault="007B25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6945" w14:textId="77777777" w:rsidR="007B255A" w:rsidRDefault="007B255A" w:rsidP="00A62BFF">
      <w:pPr>
        <w:spacing w:after="0"/>
      </w:pPr>
      <w:r>
        <w:separator/>
      </w:r>
    </w:p>
  </w:footnote>
  <w:footnote w:type="continuationSeparator" w:id="0">
    <w:p w14:paraId="67D406EE" w14:textId="77777777" w:rsidR="007B255A" w:rsidRDefault="007B255A" w:rsidP="00A62BFF">
      <w:pPr>
        <w:spacing w:after="0"/>
      </w:pPr>
      <w:r>
        <w:continuationSeparator/>
      </w:r>
    </w:p>
  </w:footnote>
  <w:footnote w:type="continuationNotice" w:id="1">
    <w:p w14:paraId="3C0DEDE8" w14:textId="77777777" w:rsidR="007B255A" w:rsidRDefault="007B25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201" w14:textId="77777777" w:rsidR="00B26D29" w:rsidRDefault="00924256" w:rsidP="00D256C4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1BC"/>
    <w:rsid w:val="00013752"/>
    <w:rsid w:val="00015450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CF6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0C64"/>
    <w:rsid w:val="00053545"/>
    <w:rsid w:val="00055072"/>
    <w:rsid w:val="000556E6"/>
    <w:rsid w:val="00056BD0"/>
    <w:rsid w:val="000578F2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26A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29F"/>
    <w:rsid w:val="000A4598"/>
    <w:rsid w:val="000A6499"/>
    <w:rsid w:val="000B0F9C"/>
    <w:rsid w:val="000B14CC"/>
    <w:rsid w:val="000B19B2"/>
    <w:rsid w:val="000B1B73"/>
    <w:rsid w:val="000B296B"/>
    <w:rsid w:val="000B304C"/>
    <w:rsid w:val="000B3F97"/>
    <w:rsid w:val="000B475E"/>
    <w:rsid w:val="000B5338"/>
    <w:rsid w:val="000B5B94"/>
    <w:rsid w:val="000B6756"/>
    <w:rsid w:val="000B6A4C"/>
    <w:rsid w:val="000B6DC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0F69AD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BA2"/>
    <w:rsid w:val="00130F65"/>
    <w:rsid w:val="00132C86"/>
    <w:rsid w:val="001340C9"/>
    <w:rsid w:val="001343C1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4F6D"/>
    <w:rsid w:val="001451D9"/>
    <w:rsid w:val="00146DE3"/>
    <w:rsid w:val="00146EC7"/>
    <w:rsid w:val="00147154"/>
    <w:rsid w:val="00147BF4"/>
    <w:rsid w:val="001510CA"/>
    <w:rsid w:val="001514D4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13AB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B5D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5AEA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086"/>
    <w:rsid w:val="001F59CD"/>
    <w:rsid w:val="001F6599"/>
    <w:rsid w:val="001F75B1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11E0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474E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57A56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9AB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1F09"/>
    <w:rsid w:val="002D3490"/>
    <w:rsid w:val="002D3503"/>
    <w:rsid w:val="002D4CD5"/>
    <w:rsid w:val="002D5145"/>
    <w:rsid w:val="002D6406"/>
    <w:rsid w:val="002D6BAE"/>
    <w:rsid w:val="002D728B"/>
    <w:rsid w:val="002E0E15"/>
    <w:rsid w:val="002E2081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988"/>
    <w:rsid w:val="00310AB7"/>
    <w:rsid w:val="00311D38"/>
    <w:rsid w:val="00313E6E"/>
    <w:rsid w:val="00314E7F"/>
    <w:rsid w:val="0031633F"/>
    <w:rsid w:val="003178CF"/>
    <w:rsid w:val="003179A9"/>
    <w:rsid w:val="003233C1"/>
    <w:rsid w:val="00323E4E"/>
    <w:rsid w:val="00323F41"/>
    <w:rsid w:val="00325261"/>
    <w:rsid w:val="00325809"/>
    <w:rsid w:val="0032644E"/>
    <w:rsid w:val="0032666D"/>
    <w:rsid w:val="0033065A"/>
    <w:rsid w:val="00331CB7"/>
    <w:rsid w:val="00331EC9"/>
    <w:rsid w:val="0033243A"/>
    <w:rsid w:val="00332474"/>
    <w:rsid w:val="003328F0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49B1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09D2"/>
    <w:rsid w:val="003616B4"/>
    <w:rsid w:val="00362ADD"/>
    <w:rsid w:val="0036364B"/>
    <w:rsid w:val="003644FB"/>
    <w:rsid w:val="0036495F"/>
    <w:rsid w:val="00365E0F"/>
    <w:rsid w:val="003727C1"/>
    <w:rsid w:val="003738E5"/>
    <w:rsid w:val="00375931"/>
    <w:rsid w:val="00375D05"/>
    <w:rsid w:val="00376923"/>
    <w:rsid w:val="00376C61"/>
    <w:rsid w:val="00377291"/>
    <w:rsid w:val="00377A6F"/>
    <w:rsid w:val="00382894"/>
    <w:rsid w:val="0038336D"/>
    <w:rsid w:val="00383D0D"/>
    <w:rsid w:val="003844AB"/>
    <w:rsid w:val="003853CD"/>
    <w:rsid w:val="00385DCD"/>
    <w:rsid w:val="0039264B"/>
    <w:rsid w:val="00392DC9"/>
    <w:rsid w:val="00392E28"/>
    <w:rsid w:val="0039426F"/>
    <w:rsid w:val="00394CC9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14E"/>
    <w:rsid w:val="003B5C8F"/>
    <w:rsid w:val="003B6831"/>
    <w:rsid w:val="003B6A3F"/>
    <w:rsid w:val="003B6D10"/>
    <w:rsid w:val="003B79DF"/>
    <w:rsid w:val="003B7EBD"/>
    <w:rsid w:val="003C0411"/>
    <w:rsid w:val="003C278F"/>
    <w:rsid w:val="003C53ED"/>
    <w:rsid w:val="003D01FA"/>
    <w:rsid w:val="003D634B"/>
    <w:rsid w:val="003D6B83"/>
    <w:rsid w:val="003E0A82"/>
    <w:rsid w:val="003E245C"/>
    <w:rsid w:val="003E2789"/>
    <w:rsid w:val="003E2DA4"/>
    <w:rsid w:val="003E300B"/>
    <w:rsid w:val="003E4E47"/>
    <w:rsid w:val="003E59AF"/>
    <w:rsid w:val="003E780E"/>
    <w:rsid w:val="003F3C92"/>
    <w:rsid w:val="003F41DD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4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77FDA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587D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6B64"/>
    <w:rsid w:val="004C70EC"/>
    <w:rsid w:val="004C7495"/>
    <w:rsid w:val="004D0A0E"/>
    <w:rsid w:val="004D10F1"/>
    <w:rsid w:val="004D144A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4F5ED4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3CBD"/>
    <w:rsid w:val="005253BF"/>
    <w:rsid w:val="00527EF2"/>
    <w:rsid w:val="00530B60"/>
    <w:rsid w:val="0053334A"/>
    <w:rsid w:val="005337E8"/>
    <w:rsid w:val="00533C8E"/>
    <w:rsid w:val="00535700"/>
    <w:rsid w:val="005366DA"/>
    <w:rsid w:val="0053745F"/>
    <w:rsid w:val="00540390"/>
    <w:rsid w:val="00541600"/>
    <w:rsid w:val="00541E47"/>
    <w:rsid w:val="0054204C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3FB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36F0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71C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58AC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69C1"/>
    <w:rsid w:val="005C7EE5"/>
    <w:rsid w:val="005D0442"/>
    <w:rsid w:val="005D0750"/>
    <w:rsid w:val="005D0956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E797C"/>
    <w:rsid w:val="005F079A"/>
    <w:rsid w:val="005F0BF9"/>
    <w:rsid w:val="005F14E3"/>
    <w:rsid w:val="005F27D8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5D13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57D12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1E8D"/>
    <w:rsid w:val="00682333"/>
    <w:rsid w:val="0068310C"/>
    <w:rsid w:val="006834E4"/>
    <w:rsid w:val="00683883"/>
    <w:rsid w:val="00683A15"/>
    <w:rsid w:val="00684038"/>
    <w:rsid w:val="006842BD"/>
    <w:rsid w:val="00687033"/>
    <w:rsid w:val="00690990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1B5"/>
    <w:rsid w:val="006A2517"/>
    <w:rsid w:val="006A61C0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C470C"/>
    <w:rsid w:val="006D4919"/>
    <w:rsid w:val="006D5A55"/>
    <w:rsid w:val="006D6073"/>
    <w:rsid w:val="006D6266"/>
    <w:rsid w:val="006D7760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090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C7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0596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182C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441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255A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0C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042E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0BF6"/>
    <w:rsid w:val="0083163F"/>
    <w:rsid w:val="00831E32"/>
    <w:rsid w:val="00832277"/>
    <w:rsid w:val="008332C2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3A5B"/>
    <w:rsid w:val="008848AA"/>
    <w:rsid w:val="00885439"/>
    <w:rsid w:val="00885573"/>
    <w:rsid w:val="00887A9E"/>
    <w:rsid w:val="00887B6D"/>
    <w:rsid w:val="008916ED"/>
    <w:rsid w:val="00891F1B"/>
    <w:rsid w:val="008944AD"/>
    <w:rsid w:val="0089541A"/>
    <w:rsid w:val="008964B9"/>
    <w:rsid w:val="008A0AAC"/>
    <w:rsid w:val="008A190E"/>
    <w:rsid w:val="008A19A2"/>
    <w:rsid w:val="008A1C18"/>
    <w:rsid w:val="008A268E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858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210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3D0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590E"/>
    <w:rsid w:val="008F766D"/>
    <w:rsid w:val="008F77DF"/>
    <w:rsid w:val="00900693"/>
    <w:rsid w:val="009013FF"/>
    <w:rsid w:val="00901A1B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0A5D"/>
    <w:rsid w:val="00931300"/>
    <w:rsid w:val="00933A73"/>
    <w:rsid w:val="00934D6B"/>
    <w:rsid w:val="00936130"/>
    <w:rsid w:val="00936933"/>
    <w:rsid w:val="009374FA"/>
    <w:rsid w:val="00937AD4"/>
    <w:rsid w:val="00937B12"/>
    <w:rsid w:val="00940B39"/>
    <w:rsid w:val="00941922"/>
    <w:rsid w:val="009420D8"/>
    <w:rsid w:val="0094430D"/>
    <w:rsid w:val="00945D30"/>
    <w:rsid w:val="00946A64"/>
    <w:rsid w:val="009470F9"/>
    <w:rsid w:val="00947B08"/>
    <w:rsid w:val="00950B41"/>
    <w:rsid w:val="0095123C"/>
    <w:rsid w:val="00951338"/>
    <w:rsid w:val="0095157D"/>
    <w:rsid w:val="00951A9F"/>
    <w:rsid w:val="00951B81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609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1A8D"/>
    <w:rsid w:val="009C34E8"/>
    <w:rsid w:val="009C3B20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572A"/>
    <w:rsid w:val="009D6762"/>
    <w:rsid w:val="009D76F3"/>
    <w:rsid w:val="009E1143"/>
    <w:rsid w:val="009E1F2D"/>
    <w:rsid w:val="009E23AE"/>
    <w:rsid w:val="009E2FBC"/>
    <w:rsid w:val="009E3743"/>
    <w:rsid w:val="009E3ABC"/>
    <w:rsid w:val="009E40C0"/>
    <w:rsid w:val="009E40C8"/>
    <w:rsid w:val="009E474C"/>
    <w:rsid w:val="009F073A"/>
    <w:rsid w:val="009F3A22"/>
    <w:rsid w:val="009F4258"/>
    <w:rsid w:val="009F42D5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120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05B3"/>
    <w:rsid w:val="00A52359"/>
    <w:rsid w:val="00A53D94"/>
    <w:rsid w:val="00A554C3"/>
    <w:rsid w:val="00A56E6F"/>
    <w:rsid w:val="00A57346"/>
    <w:rsid w:val="00A57BBD"/>
    <w:rsid w:val="00A57FEA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664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60A"/>
    <w:rsid w:val="00A967FD"/>
    <w:rsid w:val="00A97281"/>
    <w:rsid w:val="00A97A09"/>
    <w:rsid w:val="00AA0280"/>
    <w:rsid w:val="00AA072A"/>
    <w:rsid w:val="00AA2DAC"/>
    <w:rsid w:val="00AA3692"/>
    <w:rsid w:val="00AA3D7E"/>
    <w:rsid w:val="00AA640B"/>
    <w:rsid w:val="00AA69A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80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27B45"/>
    <w:rsid w:val="00B309B6"/>
    <w:rsid w:val="00B30D62"/>
    <w:rsid w:val="00B31D55"/>
    <w:rsid w:val="00B35C91"/>
    <w:rsid w:val="00B3753F"/>
    <w:rsid w:val="00B379FC"/>
    <w:rsid w:val="00B37DFD"/>
    <w:rsid w:val="00B4166E"/>
    <w:rsid w:val="00B425FB"/>
    <w:rsid w:val="00B4286A"/>
    <w:rsid w:val="00B42BC6"/>
    <w:rsid w:val="00B43CA4"/>
    <w:rsid w:val="00B4432C"/>
    <w:rsid w:val="00B47721"/>
    <w:rsid w:val="00B50CD1"/>
    <w:rsid w:val="00B51375"/>
    <w:rsid w:val="00B528EA"/>
    <w:rsid w:val="00B54A13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5DD3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15D5"/>
    <w:rsid w:val="00BA30ED"/>
    <w:rsid w:val="00BA377A"/>
    <w:rsid w:val="00BA3F94"/>
    <w:rsid w:val="00BA4DF3"/>
    <w:rsid w:val="00BA50ED"/>
    <w:rsid w:val="00BA5EB2"/>
    <w:rsid w:val="00BA6198"/>
    <w:rsid w:val="00BA6AF9"/>
    <w:rsid w:val="00BA6E9B"/>
    <w:rsid w:val="00BA6F24"/>
    <w:rsid w:val="00BA75CA"/>
    <w:rsid w:val="00BA76D8"/>
    <w:rsid w:val="00BB0441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31D5"/>
    <w:rsid w:val="00BC4850"/>
    <w:rsid w:val="00BC5671"/>
    <w:rsid w:val="00BC5898"/>
    <w:rsid w:val="00BC61C9"/>
    <w:rsid w:val="00BC65EE"/>
    <w:rsid w:val="00BC6C37"/>
    <w:rsid w:val="00BC7C9B"/>
    <w:rsid w:val="00BD078B"/>
    <w:rsid w:val="00BD0C0B"/>
    <w:rsid w:val="00BD13AB"/>
    <w:rsid w:val="00BD40E1"/>
    <w:rsid w:val="00BD41E7"/>
    <w:rsid w:val="00BD48DD"/>
    <w:rsid w:val="00BD65FB"/>
    <w:rsid w:val="00BD6C40"/>
    <w:rsid w:val="00BE0163"/>
    <w:rsid w:val="00BE07E5"/>
    <w:rsid w:val="00BE1AE8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00C4"/>
    <w:rsid w:val="00C81C68"/>
    <w:rsid w:val="00C82041"/>
    <w:rsid w:val="00C82605"/>
    <w:rsid w:val="00C82966"/>
    <w:rsid w:val="00C847C0"/>
    <w:rsid w:val="00C85CB1"/>
    <w:rsid w:val="00C908E0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4A4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18E7"/>
    <w:rsid w:val="00D02E54"/>
    <w:rsid w:val="00D03C6C"/>
    <w:rsid w:val="00D05ADA"/>
    <w:rsid w:val="00D073E5"/>
    <w:rsid w:val="00D07B89"/>
    <w:rsid w:val="00D10912"/>
    <w:rsid w:val="00D10CDC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532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3B05"/>
    <w:rsid w:val="00D34518"/>
    <w:rsid w:val="00D35562"/>
    <w:rsid w:val="00D36137"/>
    <w:rsid w:val="00D36ADA"/>
    <w:rsid w:val="00D40CF5"/>
    <w:rsid w:val="00D41693"/>
    <w:rsid w:val="00D43277"/>
    <w:rsid w:val="00D434A8"/>
    <w:rsid w:val="00D43EAB"/>
    <w:rsid w:val="00D4487F"/>
    <w:rsid w:val="00D45F83"/>
    <w:rsid w:val="00D4627A"/>
    <w:rsid w:val="00D4680A"/>
    <w:rsid w:val="00D479C1"/>
    <w:rsid w:val="00D50BDF"/>
    <w:rsid w:val="00D52C83"/>
    <w:rsid w:val="00D53510"/>
    <w:rsid w:val="00D542FD"/>
    <w:rsid w:val="00D5478A"/>
    <w:rsid w:val="00D5488D"/>
    <w:rsid w:val="00D62D23"/>
    <w:rsid w:val="00D63674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05B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0B71"/>
    <w:rsid w:val="00DD2410"/>
    <w:rsid w:val="00DD248B"/>
    <w:rsid w:val="00DD2F95"/>
    <w:rsid w:val="00DD3320"/>
    <w:rsid w:val="00DD3D94"/>
    <w:rsid w:val="00DD488A"/>
    <w:rsid w:val="00DD6815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234D"/>
    <w:rsid w:val="00E1334F"/>
    <w:rsid w:val="00E1356C"/>
    <w:rsid w:val="00E144AA"/>
    <w:rsid w:val="00E150E0"/>
    <w:rsid w:val="00E15B0E"/>
    <w:rsid w:val="00E15F79"/>
    <w:rsid w:val="00E201D6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026F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08A8"/>
    <w:rsid w:val="00E7159A"/>
    <w:rsid w:val="00E71846"/>
    <w:rsid w:val="00E71EF9"/>
    <w:rsid w:val="00E726E1"/>
    <w:rsid w:val="00E727BF"/>
    <w:rsid w:val="00E73B90"/>
    <w:rsid w:val="00E8003A"/>
    <w:rsid w:val="00E825C1"/>
    <w:rsid w:val="00E82641"/>
    <w:rsid w:val="00E842B3"/>
    <w:rsid w:val="00E844CE"/>
    <w:rsid w:val="00E857ED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116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AA3"/>
    <w:rsid w:val="00EC4F8F"/>
    <w:rsid w:val="00EC5E60"/>
    <w:rsid w:val="00EC7043"/>
    <w:rsid w:val="00EC7935"/>
    <w:rsid w:val="00EC7B7E"/>
    <w:rsid w:val="00EC7C11"/>
    <w:rsid w:val="00ED07EC"/>
    <w:rsid w:val="00ED0870"/>
    <w:rsid w:val="00ED096A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F58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2944"/>
    <w:rsid w:val="00FB325F"/>
    <w:rsid w:val="00FB3981"/>
    <w:rsid w:val="00FB3C60"/>
    <w:rsid w:val="00FB51BA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6356"/>
    <w:rsid w:val="00FD756F"/>
    <w:rsid w:val="00FE0634"/>
    <w:rsid w:val="00FE23A3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11944E6"/>
    <w:rsid w:val="017E5281"/>
    <w:rsid w:val="02C5C000"/>
    <w:rsid w:val="030DC3D5"/>
    <w:rsid w:val="0338540C"/>
    <w:rsid w:val="06D9E2ED"/>
    <w:rsid w:val="07C318BF"/>
    <w:rsid w:val="087109D4"/>
    <w:rsid w:val="08DF0C1A"/>
    <w:rsid w:val="0A25483C"/>
    <w:rsid w:val="0BB02389"/>
    <w:rsid w:val="0C37DDCC"/>
    <w:rsid w:val="0D8495F8"/>
    <w:rsid w:val="0D8958D7"/>
    <w:rsid w:val="0E52A7B2"/>
    <w:rsid w:val="0E5ACFB8"/>
    <w:rsid w:val="0EB0C00D"/>
    <w:rsid w:val="0F5953F2"/>
    <w:rsid w:val="10F03A97"/>
    <w:rsid w:val="1135801E"/>
    <w:rsid w:val="11F354E4"/>
    <w:rsid w:val="1212A0D5"/>
    <w:rsid w:val="12232BA3"/>
    <w:rsid w:val="1248AD54"/>
    <w:rsid w:val="1309B4B9"/>
    <w:rsid w:val="134C6368"/>
    <w:rsid w:val="138CF3CC"/>
    <w:rsid w:val="14B51FCC"/>
    <w:rsid w:val="165FB293"/>
    <w:rsid w:val="16B3FC41"/>
    <w:rsid w:val="183F7797"/>
    <w:rsid w:val="18EC18FB"/>
    <w:rsid w:val="1A0EECFF"/>
    <w:rsid w:val="1A363D33"/>
    <w:rsid w:val="1E0E89F0"/>
    <w:rsid w:val="1E364F38"/>
    <w:rsid w:val="1FA94B71"/>
    <w:rsid w:val="2107B116"/>
    <w:rsid w:val="211CB3C1"/>
    <w:rsid w:val="219141FF"/>
    <w:rsid w:val="2481F299"/>
    <w:rsid w:val="252C9812"/>
    <w:rsid w:val="26072B4E"/>
    <w:rsid w:val="263C6F27"/>
    <w:rsid w:val="26867079"/>
    <w:rsid w:val="26D13A2C"/>
    <w:rsid w:val="272E33A4"/>
    <w:rsid w:val="2BE81BFC"/>
    <w:rsid w:val="2BF07FF9"/>
    <w:rsid w:val="2C80BDF7"/>
    <w:rsid w:val="2EDE65B1"/>
    <w:rsid w:val="3031A302"/>
    <w:rsid w:val="326AD79A"/>
    <w:rsid w:val="33A0CF97"/>
    <w:rsid w:val="3435E63B"/>
    <w:rsid w:val="34E2995B"/>
    <w:rsid w:val="3521209F"/>
    <w:rsid w:val="3540955C"/>
    <w:rsid w:val="363F59A4"/>
    <w:rsid w:val="3881FF73"/>
    <w:rsid w:val="389C4963"/>
    <w:rsid w:val="396A146E"/>
    <w:rsid w:val="3AF743E0"/>
    <w:rsid w:val="3B03A6FE"/>
    <w:rsid w:val="3B26318C"/>
    <w:rsid w:val="3BD2736E"/>
    <w:rsid w:val="3D786D63"/>
    <w:rsid w:val="3E5585D7"/>
    <w:rsid w:val="3EBF3394"/>
    <w:rsid w:val="3F77EE4B"/>
    <w:rsid w:val="419A5CAB"/>
    <w:rsid w:val="41EA1992"/>
    <w:rsid w:val="4209DEAB"/>
    <w:rsid w:val="4242DB0B"/>
    <w:rsid w:val="43689517"/>
    <w:rsid w:val="439537FA"/>
    <w:rsid w:val="4434C473"/>
    <w:rsid w:val="48584334"/>
    <w:rsid w:val="488B698C"/>
    <w:rsid w:val="4928D8C1"/>
    <w:rsid w:val="49E983DE"/>
    <w:rsid w:val="4A641EFA"/>
    <w:rsid w:val="4C607983"/>
    <w:rsid w:val="4DFE3923"/>
    <w:rsid w:val="4F324F14"/>
    <w:rsid w:val="51A618FB"/>
    <w:rsid w:val="540996D3"/>
    <w:rsid w:val="547478D0"/>
    <w:rsid w:val="567A9E57"/>
    <w:rsid w:val="5778E23C"/>
    <w:rsid w:val="58B1E652"/>
    <w:rsid w:val="5FB4C6F0"/>
    <w:rsid w:val="60383D00"/>
    <w:rsid w:val="6122ABDC"/>
    <w:rsid w:val="630E43FC"/>
    <w:rsid w:val="635AAE36"/>
    <w:rsid w:val="645D80F1"/>
    <w:rsid w:val="66924EF8"/>
    <w:rsid w:val="670C76DD"/>
    <w:rsid w:val="675674FA"/>
    <w:rsid w:val="6A0562BC"/>
    <w:rsid w:val="6C2A27AC"/>
    <w:rsid w:val="6C79009A"/>
    <w:rsid w:val="6D06E5F7"/>
    <w:rsid w:val="6D1F20EA"/>
    <w:rsid w:val="6DF0E4C1"/>
    <w:rsid w:val="6EC54F40"/>
    <w:rsid w:val="70EE81AD"/>
    <w:rsid w:val="7154D6D5"/>
    <w:rsid w:val="71C205E4"/>
    <w:rsid w:val="7483D801"/>
    <w:rsid w:val="753E2F7F"/>
    <w:rsid w:val="75646AFC"/>
    <w:rsid w:val="7589D28C"/>
    <w:rsid w:val="759FAE02"/>
    <w:rsid w:val="7602784A"/>
    <w:rsid w:val="7686D74E"/>
    <w:rsid w:val="77298177"/>
    <w:rsid w:val="78550B7E"/>
    <w:rsid w:val="79F0DBDF"/>
    <w:rsid w:val="7BED3B48"/>
    <w:rsid w:val="7C9AB7E9"/>
    <w:rsid w:val="7CE8ECF2"/>
    <w:rsid w:val="7E09C828"/>
    <w:rsid w:val="7E373D81"/>
    <w:rsid w:val="7EE32DE9"/>
    <w:rsid w:val="7F6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CDF6F419-6F49-48DA-ABF0-2BE61E5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375D05"/>
  </w:style>
  <w:style w:type="character" w:customStyle="1" w:styleId="eop">
    <w:name w:val="eop"/>
    <w:basedOn w:val="DefaultParagraphFont"/>
    <w:rsid w:val="00375D05"/>
  </w:style>
  <w:style w:type="paragraph" w:customStyle="1" w:styleId="paragraph">
    <w:name w:val="paragraph"/>
    <w:basedOn w:val="Normal"/>
    <w:rsid w:val="00375D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A61C0"/>
    <w:pPr>
      <w:spacing w:after="0"/>
    </w:pPr>
    <w:rPr>
      <w:color w:val="454545" w:themeColor="text1"/>
      <w:lang w:val="en-GB"/>
    </w:rPr>
  </w:style>
  <w:style w:type="character" w:styleId="Mention">
    <w:name w:val="Mention"/>
    <w:basedOn w:val="DefaultParagraphFont"/>
    <w:uiPriority w:val="99"/>
    <w:unhideWhenUsed/>
    <w:rsid w:val="00C908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02716170A4F84E0DB52F443D166" ma:contentTypeVersion="14" ma:contentTypeDescription="Create a new document." ma:contentTypeScope="" ma:versionID="a8d0e6fdf0e17cecb50848505512de0c">
  <xsd:schema xmlns:xsd="http://www.w3.org/2001/XMLSchema" xmlns:xs="http://www.w3.org/2001/XMLSchema" xmlns:p="http://schemas.microsoft.com/office/2006/metadata/properties" xmlns:ns2="c957d7ae-6b4c-4bec-912c-7fda720dd351" xmlns:ns3="94592e32-5fea-45e0-a76d-a9a0c72f2906" targetNamespace="http://schemas.microsoft.com/office/2006/metadata/properties" ma:root="true" ma:fieldsID="51fc3278f3de682e339c0b4a97dd8d2a" ns2:_="" ns3:_="">
    <xsd:import namespace="c957d7ae-6b4c-4bec-912c-7fda720dd351"/>
    <xsd:import namespace="94592e32-5fea-45e0-a76d-a9a0c72f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eting_x0020_Number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7d7ae-6b4c-4bec-912c-7fda720d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eting_x0020_Number" ma:index="15" nillable="true" ma:displayName="Meeting Number" ma:description="please type in the next number in ascending order to keep the folders descending chronologically" ma:format="Dropdown" ma:internalName="Meeting_x0020_Number" ma:percentage="FALSE">
      <xsd:simpleType>
        <xsd:restriction base="dms:Number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2e32-5fea-45e0-a76d-a9a0c72f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92e32-5fea-45e0-a76d-a9a0c72f2906">
      <UserInfo>
        <DisplayName>Sellar (ESO), Adrian</DisplayName>
        <AccountId>26</AccountId>
        <AccountType/>
      </UserInfo>
      <UserInfo>
        <DisplayName>Gilsenan (ESO), Camille</DisplayName>
        <AccountId>85</AccountId>
        <AccountType/>
      </UserInfo>
      <UserInfo>
        <DisplayName>Wisdom (ESO), Jon</DisplayName>
        <AccountId>14</AccountId>
        <AccountType/>
      </UserInfo>
      <UserInfo>
        <DisplayName>Neale (ESO), Grahame</DisplayName>
        <AccountId>17</AccountId>
        <AccountType/>
      </UserInfo>
      <UserInfo>
        <DisplayName>Price(ESO), Alison</DisplayName>
        <AccountId>570</AccountId>
        <AccountType/>
      </UserInfo>
    </SharedWithUsers>
    <Meeting_x0020_Number xmlns="c957d7ae-6b4c-4bec-912c-7fda720dd3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AFF9-2711-4C98-A20A-9AC46C17C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7d7ae-6b4c-4bec-912c-7fda720dd351"/>
    <ds:schemaRef ds:uri="94592e32-5fea-45e0-a76d-a9a0c72f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94592e32-5fea-45e0-a76d-a9a0c72f2906"/>
    <ds:schemaRef ds:uri="c957d7ae-6b4c-4bec-912c-7fda720dd351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BD415-DBE7-4212-9F15-B6EC7AF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3249</Characters>
  <Application>Microsoft Office Word</Application>
  <DocSecurity>0</DocSecurity>
  <Lines>27</Lines>
  <Paragraphs>7</Paragraphs>
  <ScaleCrop>false</ScaleCrop>
  <Company>Hamilton-Brown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Price(ESO), Alison</cp:lastModifiedBy>
  <cp:revision>101</cp:revision>
  <cp:lastPrinted>2020-10-27T10:25:00Z</cp:lastPrinted>
  <dcterms:created xsi:type="dcterms:W3CDTF">2021-05-12T11:11:00Z</dcterms:created>
  <dcterms:modified xsi:type="dcterms:W3CDTF">2021-10-13T13:54:00Z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0x010100E3A8902716170A4F84E0DB52F443D166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